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BF7E2" w14:textId="043E744E" w:rsidR="00492EB8" w:rsidRPr="00492EB8" w:rsidRDefault="00492EB8" w:rsidP="00492EB8">
      <w:pPr>
        <w:pStyle w:val="TdocHeader2"/>
        <w:rPr>
          <w:rFonts w:ascii="Calibri" w:eastAsia="Times New Roman" w:hAnsi="Calibri" w:cs="Calibri"/>
          <w:bCs/>
          <w:noProof/>
          <w:sz w:val="24"/>
          <w:szCs w:val="24"/>
          <w:lang w:val="en-US" w:eastAsia="zh-CN"/>
        </w:rPr>
      </w:pPr>
      <w:r w:rsidRPr="00492EB8">
        <w:rPr>
          <w:rFonts w:ascii="Calibri" w:eastAsia="Times New Roman" w:hAnsi="Calibri" w:cs="Calibri" w:hint="eastAsia"/>
          <w:bCs/>
          <w:noProof/>
          <w:sz w:val="24"/>
          <w:szCs w:val="24"/>
          <w:lang w:val="en-US" w:eastAsia="zh-CN"/>
        </w:rPr>
        <w:t xml:space="preserve">3GPP TSG-RAN3 WG Meeting #111-e                                              </w:t>
      </w:r>
      <w:r w:rsidRPr="00492EB8">
        <w:rPr>
          <w:rFonts w:ascii="Calibri" w:eastAsia="Times New Roman" w:hAnsi="Calibri" w:cs="Calibri" w:hint="eastAsia"/>
          <w:bCs/>
          <w:noProof/>
          <w:sz w:val="24"/>
          <w:szCs w:val="24"/>
          <w:lang w:val="en-US" w:eastAsia="zh-CN"/>
        </w:rPr>
        <w:tab/>
      </w:r>
      <w:r w:rsidRPr="00492EB8">
        <w:rPr>
          <w:rFonts w:ascii="ＭＳ ゴシック" w:eastAsia="ＭＳ ゴシック" w:hAnsi="ＭＳ ゴシック" w:cs="ＭＳ ゴシック" w:hint="eastAsia"/>
          <w:bCs/>
          <w:noProof/>
          <w:sz w:val="24"/>
          <w:szCs w:val="24"/>
          <w:lang w:val="en-US" w:eastAsia="zh-CN"/>
        </w:rPr>
        <w:t xml:space="preserve">　　　　　　　　</w:t>
      </w:r>
      <w:r w:rsidRPr="00492EB8">
        <w:rPr>
          <w:rFonts w:ascii="Calibri" w:eastAsia="Times New Roman" w:hAnsi="Calibri" w:cs="Calibri" w:hint="eastAsia"/>
          <w:bCs/>
          <w:noProof/>
          <w:sz w:val="24"/>
          <w:szCs w:val="24"/>
          <w:lang w:val="en-US" w:eastAsia="zh-CN"/>
        </w:rPr>
        <w:t xml:space="preserve">    </w:t>
      </w:r>
      <w:r w:rsidRPr="00492EB8">
        <w:rPr>
          <w:rFonts w:ascii="ＭＳ ゴシック" w:eastAsia="ＭＳ ゴシック" w:hAnsi="ＭＳ ゴシック" w:cs="ＭＳ ゴシック" w:hint="eastAsia"/>
          <w:bCs/>
          <w:noProof/>
          <w:sz w:val="24"/>
          <w:szCs w:val="24"/>
          <w:lang w:val="en-US" w:eastAsia="zh-CN"/>
        </w:rPr>
        <w:t xml:space="preserve">　</w:t>
      </w:r>
      <w:r w:rsidRPr="00492EB8">
        <w:rPr>
          <w:rFonts w:ascii="Calibri" w:eastAsia="Times New Roman" w:hAnsi="Calibri" w:cs="Calibri" w:hint="eastAsia"/>
          <w:bCs/>
          <w:noProof/>
          <w:sz w:val="24"/>
          <w:szCs w:val="24"/>
          <w:lang w:val="en-US" w:eastAsia="zh-CN"/>
        </w:rPr>
        <w:t xml:space="preserve">       </w:t>
      </w:r>
      <w:r w:rsidR="00F1581A" w:rsidRPr="00F1581A">
        <w:rPr>
          <w:rFonts w:ascii="Calibri" w:eastAsia="Times New Roman" w:hAnsi="Calibri" w:cs="Calibri"/>
          <w:bCs/>
          <w:noProof/>
          <w:sz w:val="24"/>
          <w:szCs w:val="24"/>
          <w:lang w:val="en-US" w:eastAsia="zh-CN"/>
        </w:rPr>
        <w:t>R3-210429</w:t>
      </w:r>
      <w:r w:rsidR="00F1581A" w:rsidRPr="00F1581A" w:rsidDel="00F1581A">
        <w:rPr>
          <w:rFonts w:ascii="Calibri" w:eastAsia="Times New Roman" w:hAnsi="Calibri" w:cs="Calibri" w:hint="eastAsia"/>
          <w:bCs/>
          <w:noProof/>
          <w:sz w:val="24"/>
          <w:szCs w:val="24"/>
          <w:lang w:val="en-US" w:eastAsia="zh-CN"/>
        </w:rPr>
        <w:t xml:space="preserve"> </w:t>
      </w:r>
    </w:p>
    <w:p w14:paraId="4BE178A2" w14:textId="77777777" w:rsidR="00492EB8" w:rsidRPr="00492EB8" w:rsidRDefault="00492EB8" w:rsidP="00492EB8">
      <w:pPr>
        <w:pStyle w:val="TdocHeader2"/>
        <w:rPr>
          <w:rFonts w:ascii="Calibri" w:eastAsia="Times New Roman" w:hAnsi="Calibri" w:cs="Calibri"/>
          <w:bCs/>
          <w:noProof/>
          <w:sz w:val="24"/>
          <w:szCs w:val="24"/>
          <w:lang w:val="en-US" w:eastAsia="zh-CN"/>
        </w:rPr>
      </w:pPr>
      <w:r w:rsidRPr="00492EB8">
        <w:rPr>
          <w:rFonts w:ascii="Calibri" w:eastAsia="Times New Roman" w:hAnsi="Calibri" w:cs="Calibri"/>
          <w:bCs/>
          <w:noProof/>
          <w:sz w:val="24"/>
          <w:szCs w:val="24"/>
          <w:lang w:val="en-US" w:eastAsia="zh-CN"/>
        </w:rPr>
        <w:t>Online, January 25th – February 5th 2021</w:t>
      </w:r>
    </w:p>
    <w:p w14:paraId="23DDCF65" w14:textId="77777777" w:rsidR="00492EB8" w:rsidRPr="00492EB8" w:rsidRDefault="00492EB8" w:rsidP="00492EB8">
      <w:pPr>
        <w:pStyle w:val="TdocHeader2"/>
        <w:rPr>
          <w:rFonts w:ascii="Calibri" w:eastAsia="Times New Roman" w:hAnsi="Calibri" w:cs="Calibri"/>
          <w:bCs/>
          <w:noProof/>
          <w:sz w:val="24"/>
          <w:szCs w:val="24"/>
          <w:lang w:val="en-US" w:eastAsia="zh-CN"/>
        </w:rPr>
      </w:pPr>
      <w:r w:rsidRPr="00492EB8">
        <w:rPr>
          <w:rFonts w:ascii="Calibri" w:eastAsia="Times New Roman" w:hAnsi="Calibri" w:cs="Calibri"/>
          <w:bCs/>
          <w:noProof/>
          <w:sz w:val="24"/>
          <w:szCs w:val="24"/>
          <w:lang w:val="en-US" w:eastAsia="zh-CN"/>
        </w:rPr>
        <w:t xml:space="preserve">Source: </w:t>
      </w:r>
      <w:r w:rsidRPr="00492EB8">
        <w:rPr>
          <w:rFonts w:ascii="Calibri" w:eastAsia="Times New Roman" w:hAnsi="Calibri" w:cs="Calibri"/>
          <w:bCs/>
          <w:noProof/>
          <w:sz w:val="24"/>
          <w:szCs w:val="24"/>
          <w:lang w:val="en-US" w:eastAsia="zh-CN"/>
        </w:rPr>
        <w:tab/>
        <w:t>KDDI Corporation</w:t>
      </w:r>
    </w:p>
    <w:p w14:paraId="0F6A28CA" w14:textId="77777777" w:rsidR="00492EB8" w:rsidRPr="00492EB8" w:rsidRDefault="00492EB8" w:rsidP="00492EB8">
      <w:pPr>
        <w:pStyle w:val="TdocHeader2"/>
        <w:rPr>
          <w:rFonts w:ascii="Calibri" w:eastAsia="Times New Roman" w:hAnsi="Calibri" w:cs="Calibri"/>
          <w:bCs/>
          <w:noProof/>
          <w:sz w:val="24"/>
          <w:szCs w:val="24"/>
          <w:lang w:val="en-US" w:eastAsia="zh-CN"/>
        </w:rPr>
      </w:pPr>
      <w:r w:rsidRPr="00492EB8">
        <w:rPr>
          <w:rFonts w:ascii="Calibri" w:eastAsia="Times New Roman" w:hAnsi="Calibri" w:cs="Calibri"/>
          <w:bCs/>
          <w:noProof/>
          <w:sz w:val="24"/>
          <w:szCs w:val="24"/>
          <w:lang w:val="en-US" w:eastAsia="zh-CN"/>
        </w:rPr>
        <w:t>Title:</w:t>
      </w:r>
      <w:r w:rsidRPr="00492EB8">
        <w:rPr>
          <w:rFonts w:ascii="Calibri" w:eastAsia="Times New Roman" w:hAnsi="Calibri" w:cs="Calibri"/>
          <w:bCs/>
          <w:noProof/>
          <w:sz w:val="24"/>
          <w:szCs w:val="24"/>
          <w:lang w:val="en-US" w:eastAsia="zh-CN"/>
        </w:rPr>
        <w:tab/>
        <w:t xml:space="preserve">Considerations on top-down sequence during Inter-donor IAB node migration </w:t>
      </w:r>
    </w:p>
    <w:p w14:paraId="76AB91B7" w14:textId="77777777" w:rsidR="00492EB8" w:rsidRPr="00492EB8" w:rsidRDefault="00492EB8" w:rsidP="00492EB8">
      <w:pPr>
        <w:pStyle w:val="TdocHeader2"/>
        <w:rPr>
          <w:rFonts w:ascii="Calibri" w:eastAsia="Times New Roman" w:hAnsi="Calibri" w:cs="Calibri"/>
          <w:bCs/>
          <w:noProof/>
          <w:sz w:val="24"/>
          <w:szCs w:val="24"/>
          <w:lang w:val="en-US" w:eastAsia="zh-CN"/>
        </w:rPr>
      </w:pPr>
      <w:r w:rsidRPr="00492EB8">
        <w:rPr>
          <w:rFonts w:ascii="Calibri" w:eastAsia="Times New Roman" w:hAnsi="Calibri" w:cs="Calibri"/>
          <w:bCs/>
          <w:noProof/>
          <w:sz w:val="24"/>
          <w:szCs w:val="24"/>
          <w:lang w:val="en-US" w:eastAsia="zh-CN"/>
        </w:rPr>
        <w:t>Tdoc Type:</w:t>
      </w:r>
      <w:r w:rsidRPr="00492EB8">
        <w:rPr>
          <w:rFonts w:ascii="Calibri" w:eastAsia="Times New Roman" w:hAnsi="Calibri" w:cs="Calibri"/>
          <w:bCs/>
          <w:noProof/>
          <w:sz w:val="24"/>
          <w:szCs w:val="24"/>
          <w:lang w:val="en-US" w:eastAsia="zh-CN"/>
        </w:rPr>
        <w:tab/>
        <w:t>Discussion</w:t>
      </w:r>
    </w:p>
    <w:p w14:paraId="2F020C7F" w14:textId="36F85200" w:rsidR="00492EB8" w:rsidRPr="00492EB8" w:rsidRDefault="00492EB8" w:rsidP="00492EB8">
      <w:pPr>
        <w:pStyle w:val="TdocHeader2"/>
        <w:rPr>
          <w:rFonts w:ascii="Calibri" w:eastAsia="Times New Roman" w:hAnsi="Calibri" w:cs="Calibri"/>
          <w:bCs/>
          <w:noProof/>
          <w:sz w:val="24"/>
          <w:szCs w:val="24"/>
          <w:lang w:val="en-US" w:eastAsia="zh-CN"/>
        </w:rPr>
      </w:pPr>
      <w:r w:rsidRPr="00492EB8">
        <w:rPr>
          <w:rFonts w:ascii="Calibri" w:eastAsia="Times New Roman" w:hAnsi="Calibri" w:cs="Calibri"/>
          <w:bCs/>
          <w:noProof/>
          <w:sz w:val="24"/>
          <w:szCs w:val="24"/>
          <w:lang w:val="en-US" w:eastAsia="zh-CN"/>
        </w:rPr>
        <w:t xml:space="preserve">Agenda Item:    </w:t>
      </w:r>
      <w:r w:rsidR="00F1581A">
        <w:rPr>
          <w:rFonts w:ascii="ＭＳ 明朝" w:eastAsia="ＭＳ 明朝" w:hAnsi="ＭＳ 明朝" w:cs="ＭＳ 明朝" w:hint="eastAsia"/>
          <w:bCs/>
          <w:noProof/>
          <w:sz w:val="24"/>
          <w:szCs w:val="24"/>
          <w:lang w:val="en-US" w:eastAsia="ja-JP"/>
        </w:rPr>
        <w:t xml:space="preserve"> </w:t>
      </w:r>
      <w:r w:rsidRPr="00492EB8">
        <w:rPr>
          <w:rFonts w:ascii="Calibri" w:eastAsia="Times New Roman" w:hAnsi="Calibri" w:cs="Calibri"/>
          <w:bCs/>
          <w:noProof/>
          <w:sz w:val="24"/>
          <w:szCs w:val="24"/>
          <w:lang w:val="en-US" w:eastAsia="zh-CN"/>
        </w:rPr>
        <w:t>13.2.1 Inter-Donor IAB Node Migration</w:t>
      </w:r>
    </w:p>
    <w:p w14:paraId="7CA63714" w14:textId="03EEF101" w:rsidR="00492EB8" w:rsidRPr="00492EB8" w:rsidRDefault="00492EB8" w:rsidP="00492EB8">
      <w:pPr>
        <w:pStyle w:val="TdocHeader2"/>
        <w:rPr>
          <w:rFonts w:ascii="Calibri" w:eastAsia="Times New Roman" w:hAnsi="Calibri" w:cs="Calibri"/>
          <w:bCs/>
          <w:noProof/>
          <w:sz w:val="24"/>
          <w:szCs w:val="24"/>
          <w:lang w:val="en-US" w:eastAsia="zh-CN"/>
        </w:rPr>
      </w:pPr>
      <w:r w:rsidRPr="00492EB8">
        <w:rPr>
          <w:rFonts w:ascii="Calibri" w:eastAsia="Times New Roman" w:hAnsi="Calibri" w:cs="Calibri"/>
          <w:bCs/>
          <w:noProof/>
          <w:sz w:val="24"/>
          <w:szCs w:val="24"/>
          <w:lang w:val="en-US" w:eastAsia="zh-CN"/>
        </w:rPr>
        <w:t xml:space="preserve">Document for:  </w:t>
      </w:r>
      <w:r w:rsidR="00F1581A">
        <w:rPr>
          <w:rFonts w:ascii="Calibri" w:eastAsia="Times New Roman" w:hAnsi="Calibri" w:cs="Calibri"/>
          <w:bCs/>
          <w:noProof/>
          <w:sz w:val="24"/>
          <w:szCs w:val="24"/>
          <w:lang w:val="en-US" w:eastAsia="zh-CN"/>
        </w:rPr>
        <w:t xml:space="preserve">  </w:t>
      </w:r>
      <w:r w:rsidRPr="00492EB8">
        <w:rPr>
          <w:rFonts w:ascii="Calibri" w:eastAsia="Times New Roman" w:hAnsi="Calibri" w:cs="Calibri"/>
          <w:bCs/>
          <w:noProof/>
          <w:sz w:val="24"/>
          <w:szCs w:val="24"/>
          <w:lang w:val="en-US" w:eastAsia="zh-CN"/>
        </w:rPr>
        <w:t>Discussion and decision</w:t>
      </w:r>
    </w:p>
    <w:p w14:paraId="0F9BFD65" w14:textId="77777777" w:rsidR="00A434AF" w:rsidRPr="003D669F" w:rsidRDefault="00492EB8" w:rsidP="00492EB8">
      <w:pPr>
        <w:pStyle w:val="TdocHeader2"/>
        <w:jc w:val="left"/>
        <w:rPr>
          <w:rFonts w:ascii="Calibri" w:eastAsiaTheme="minorEastAsia" w:hAnsi="Calibri" w:cs="Calibri"/>
          <w:sz w:val="24"/>
          <w:szCs w:val="24"/>
          <w:lang w:val="en-US" w:eastAsia="ja-JP"/>
        </w:rPr>
      </w:pPr>
      <w:r w:rsidRPr="00492EB8">
        <w:rPr>
          <w:rFonts w:ascii="Calibri" w:eastAsia="Times New Roman" w:hAnsi="Calibri" w:cs="Calibri"/>
          <w:bCs/>
          <w:noProof/>
          <w:sz w:val="24"/>
          <w:szCs w:val="24"/>
          <w:lang w:val="en-US" w:eastAsia="zh-CN"/>
        </w:rPr>
        <w:t>Release:</w:t>
      </w:r>
      <w:r w:rsidRPr="00492EB8">
        <w:rPr>
          <w:rFonts w:ascii="Calibri" w:eastAsia="Times New Roman" w:hAnsi="Calibri" w:cs="Calibri"/>
          <w:bCs/>
          <w:noProof/>
          <w:sz w:val="24"/>
          <w:szCs w:val="24"/>
          <w:lang w:val="en-US" w:eastAsia="zh-CN"/>
        </w:rPr>
        <w:tab/>
        <w:t>Rel-17</w:t>
      </w:r>
    </w:p>
    <w:p w14:paraId="6E54BA5F"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437EAE92" w14:textId="77777777" w:rsidR="002A43B1" w:rsidRDefault="002A43B1" w:rsidP="002A43B1">
      <w:pPr>
        <w:spacing w:afterLines="50" w:after="120" w:line="300" w:lineRule="exact"/>
        <w:rPr>
          <w:rFonts w:ascii="Calibri" w:hAnsi="Calibri" w:cs="Calibri"/>
          <w:szCs w:val="24"/>
          <w:lang w:val="en-GB" w:eastAsia="ja-JP"/>
        </w:rPr>
      </w:pPr>
      <w:r>
        <w:rPr>
          <w:rFonts w:ascii="Calibri" w:hAnsi="Calibri" w:cs="Calibri"/>
          <w:szCs w:val="24"/>
          <w:lang w:val="en-GB" w:eastAsia="ja-JP"/>
        </w:rPr>
        <w:t>In the last RAN3 meeting the following agreements and warnings were made regarding inter-donor IAB migration [1]:</w:t>
      </w:r>
    </w:p>
    <w:tbl>
      <w:tblPr>
        <w:tblStyle w:val="a9"/>
        <w:tblW w:w="0" w:type="auto"/>
        <w:tblInd w:w="144" w:type="dxa"/>
        <w:tblLook w:val="04A0" w:firstRow="1" w:lastRow="0" w:firstColumn="1" w:lastColumn="0" w:noHBand="0" w:noVBand="1"/>
      </w:tblPr>
      <w:tblGrid>
        <w:gridCol w:w="9932"/>
      </w:tblGrid>
      <w:tr w:rsidR="002A43B1" w14:paraId="057C2A07" w14:textId="77777777" w:rsidTr="004A05FF">
        <w:tc>
          <w:tcPr>
            <w:tcW w:w="10070" w:type="dxa"/>
          </w:tcPr>
          <w:p w14:paraId="6DFBEBC8" w14:textId="77777777" w:rsidR="00141D99" w:rsidRDefault="00141D99" w:rsidP="00141D99">
            <w:pPr>
              <w:widowControl w:val="0"/>
              <w:spacing w:after="0"/>
              <w:ind w:left="144" w:hanging="144"/>
              <w:rPr>
                <w:rFonts w:ascii="Calibri" w:hAnsi="Calibri" w:cs="Calibri"/>
                <w:szCs w:val="24"/>
                <w:lang w:val="en-GB" w:eastAsia="ja-JP"/>
              </w:rPr>
            </w:pPr>
            <w:r>
              <w:rPr>
                <w:rFonts w:ascii="Calibri" w:hAnsi="Calibri" w:cs="Calibri" w:hint="eastAsia"/>
                <w:szCs w:val="24"/>
                <w:lang w:val="en-GB" w:eastAsia="ja-JP"/>
              </w:rPr>
              <w:t>⇒</w:t>
            </w:r>
            <w:r w:rsidRPr="00DD5513">
              <w:rPr>
                <w:rFonts w:ascii="Calibri" w:hAnsi="Calibri" w:cs="Calibri"/>
                <w:i/>
                <w:szCs w:val="24"/>
                <w:lang w:val="en-GB" w:eastAsia="ja-JP"/>
              </w:rPr>
              <w:t>It is not precluded for an IAB node to have simultaneous F1 interfaces to 2 donor CUs using the concept of</w:t>
            </w:r>
            <w:r w:rsidRPr="00DD5513">
              <w:rPr>
                <w:rFonts w:ascii="Calibri" w:hAnsi="Calibri" w:cs="Calibri" w:hint="eastAsia"/>
                <w:i/>
                <w:szCs w:val="24"/>
                <w:lang w:val="en-GB" w:eastAsia="ja-JP"/>
              </w:rPr>
              <w:t xml:space="preserve">　</w:t>
            </w:r>
            <w:r w:rsidRPr="00DD5513">
              <w:rPr>
                <w:rFonts w:ascii="Calibri" w:hAnsi="Calibri" w:cs="Calibri"/>
                <w:i/>
                <w:szCs w:val="24"/>
                <w:lang w:val="en-GB" w:eastAsia="ja-JP"/>
              </w:rPr>
              <w:t>separate logical IAB-DUs in the same physical node</w:t>
            </w:r>
          </w:p>
          <w:p w14:paraId="74914234" w14:textId="77777777" w:rsidR="00141D99" w:rsidRDefault="00141D99" w:rsidP="00141D99">
            <w:pPr>
              <w:widowControl w:val="0"/>
              <w:spacing w:after="0"/>
              <w:ind w:left="144" w:hanging="144"/>
              <w:rPr>
                <w:rFonts w:ascii="Calibri" w:hAnsi="Calibri" w:cs="Calibri"/>
                <w:szCs w:val="24"/>
                <w:lang w:val="en-GB" w:eastAsia="ja-JP"/>
              </w:rPr>
            </w:pPr>
            <w:r>
              <w:rPr>
                <w:rFonts w:ascii="Calibri" w:hAnsi="Calibri" w:cs="Calibri" w:hint="eastAsia"/>
                <w:szCs w:val="24"/>
                <w:lang w:val="en-GB" w:eastAsia="ja-JP"/>
              </w:rPr>
              <w:t>⇒</w:t>
            </w:r>
            <w:r w:rsidRPr="00DD5513">
              <w:rPr>
                <w:rFonts w:ascii="Calibri" w:hAnsi="Calibri" w:cs="Calibri" w:hint="eastAsia"/>
                <w:i/>
                <w:szCs w:val="24"/>
                <w:lang w:val="en-GB" w:eastAsia="ja-JP"/>
              </w:rPr>
              <w:t>For full inter-donor migration, top-down, bottom-up and nested sequences may be considered for the</w:t>
            </w:r>
            <w:r w:rsidRPr="00DD5513">
              <w:rPr>
                <w:rFonts w:ascii="Calibri" w:hAnsi="Calibri" w:cs="Calibri" w:hint="eastAsia"/>
                <w:i/>
                <w:szCs w:val="24"/>
                <w:lang w:val="en-GB" w:eastAsia="ja-JP"/>
              </w:rPr>
              <w:t xml:space="preserve">　</w:t>
            </w:r>
            <w:r w:rsidRPr="00DD5513">
              <w:rPr>
                <w:rFonts w:ascii="Calibri" w:hAnsi="Calibri" w:cs="Calibri" w:hint="eastAsia"/>
                <w:i/>
                <w:szCs w:val="24"/>
                <w:lang w:val="en-GB" w:eastAsia="ja-JP"/>
              </w:rPr>
              <w:t>migration of IAB-MT, UEs and descendant nodes</w:t>
            </w:r>
          </w:p>
          <w:p w14:paraId="03A5AA1F" w14:textId="77777777" w:rsidR="002A43B1" w:rsidRPr="00AA3C92" w:rsidRDefault="00141D99" w:rsidP="00141D99">
            <w:pPr>
              <w:widowControl w:val="0"/>
              <w:spacing w:afterLines="50" w:after="120"/>
              <w:ind w:left="142" w:hanging="142"/>
              <w:rPr>
                <w:rFonts w:ascii="Calibri" w:hAnsi="Calibri" w:cs="Calibri"/>
                <w:szCs w:val="24"/>
                <w:lang w:eastAsia="ja-JP"/>
              </w:rPr>
            </w:pPr>
            <w:r>
              <w:rPr>
                <w:rFonts w:ascii="Calibri" w:hAnsi="Calibri" w:cs="Calibri" w:hint="eastAsia"/>
                <w:szCs w:val="24"/>
                <w:lang w:val="en-GB" w:eastAsia="ja-JP"/>
              </w:rPr>
              <w:t>⇒</w:t>
            </w:r>
            <w:r w:rsidRPr="00DD5513">
              <w:rPr>
                <w:rFonts w:ascii="Calibri" w:hAnsi="Calibri" w:cs="Calibri"/>
                <w:i/>
                <w:szCs w:val="24"/>
                <w:lang w:val="en-GB" w:eastAsia="ja-JP"/>
              </w:rPr>
              <w:t>For gradual inter-donor migration, top-down and bottom-up sequences can be considered for the migration of IAB-MT, UEs and descendent nodes.</w:t>
            </w:r>
          </w:p>
        </w:tc>
      </w:tr>
    </w:tbl>
    <w:p w14:paraId="0764FBF4" w14:textId="77777777" w:rsidR="000C58E4" w:rsidRDefault="002A43B1" w:rsidP="002A43B1">
      <w:pPr>
        <w:spacing w:after="0" w:line="300" w:lineRule="exact"/>
        <w:rPr>
          <w:rFonts w:ascii="Calibri" w:hAnsi="Calibri" w:cs="Calibri"/>
          <w:szCs w:val="24"/>
          <w:lang w:val="en-GB" w:eastAsia="ja-JP"/>
        </w:rPr>
      </w:pPr>
      <w:r>
        <w:rPr>
          <w:rFonts w:ascii="Calibri" w:hAnsi="Calibri" w:cs="Calibri" w:hint="eastAsia"/>
          <w:szCs w:val="24"/>
          <w:lang w:val="en-GB" w:eastAsia="ja-JP"/>
        </w:rPr>
        <w:t>I</w:t>
      </w:r>
      <w:r>
        <w:rPr>
          <w:rFonts w:ascii="Calibri" w:hAnsi="Calibri" w:cs="Calibri"/>
          <w:szCs w:val="24"/>
          <w:lang w:val="en-GB" w:eastAsia="ja-JP"/>
        </w:rPr>
        <w:t>n this paper, we analyse the data forwarding procedure in the top-down sequences, identify the potential issues and offer our considerations on these issues.</w:t>
      </w:r>
    </w:p>
    <w:p w14:paraId="482275F7" w14:textId="77777777"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6D1452A7" w14:textId="77777777" w:rsidR="00BC44B1" w:rsidRDefault="00173190" w:rsidP="00173190">
      <w:pPr>
        <w:spacing w:after="0" w:line="240" w:lineRule="atLeast"/>
        <w:jc w:val="center"/>
        <w:rPr>
          <w:rFonts w:ascii="Calibri" w:hAnsi="Calibri" w:cs="Calibri"/>
          <w:szCs w:val="24"/>
          <w:lang w:eastAsia="ja-JP"/>
        </w:rPr>
      </w:pPr>
      <w:r w:rsidRPr="00173190">
        <w:rPr>
          <w:rFonts w:ascii="Calibri" w:hAnsi="Calibri" w:cs="Calibri"/>
          <w:noProof/>
          <w:szCs w:val="24"/>
          <w:lang w:eastAsia="ja-JP"/>
        </w:rPr>
        <w:drawing>
          <wp:inline distT="0" distB="0" distL="0" distR="0" wp14:anchorId="7E7D89DB" wp14:editId="311E945D">
            <wp:extent cx="1981200" cy="3005281"/>
            <wp:effectExtent l="0" t="0" r="0" b="5080"/>
            <wp:docPr id="7" name="図 6">
              <a:extLst xmlns:a="http://schemas.openxmlformats.org/drawingml/2006/main">
                <a:ext uri="{FF2B5EF4-FFF2-40B4-BE49-F238E27FC236}">
                  <a16:creationId xmlns:a16="http://schemas.microsoft.com/office/drawing/2014/main" id="{6F56520C-10BF-4D90-9276-914175A9C8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6F56520C-10BF-4D90-9276-914175A9C8F0}"/>
                        </a:ext>
                      </a:extLst>
                    </pic:cNvPr>
                    <pic:cNvPicPr>
                      <a:picLocks noChangeAspect="1"/>
                    </pic:cNvPicPr>
                  </pic:nvPicPr>
                  <pic:blipFill>
                    <a:blip r:embed="rId8"/>
                    <a:stretch>
                      <a:fillRect/>
                    </a:stretch>
                  </pic:blipFill>
                  <pic:spPr>
                    <a:xfrm>
                      <a:off x="0" y="0"/>
                      <a:ext cx="1991602" cy="3021059"/>
                    </a:xfrm>
                    <a:prstGeom prst="rect">
                      <a:avLst/>
                    </a:prstGeom>
                  </pic:spPr>
                </pic:pic>
              </a:graphicData>
            </a:graphic>
          </wp:inline>
        </w:drawing>
      </w:r>
    </w:p>
    <w:p w14:paraId="3FB3CD46" w14:textId="77777777" w:rsidR="00173190" w:rsidRDefault="00173190" w:rsidP="00173190">
      <w:pPr>
        <w:spacing w:after="0" w:line="240" w:lineRule="atLeast"/>
        <w:jc w:val="center"/>
        <w:rPr>
          <w:rFonts w:ascii="Calibri" w:hAnsi="Calibri" w:cs="Calibri"/>
          <w:szCs w:val="24"/>
          <w:lang w:eastAsia="ja-JP"/>
        </w:rPr>
      </w:pPr>
      <w:r w:rsidRPr="00173190">
        <w:rPr>
          <w:rFonts w:ascii="Calibri" w:hAnsi="Calibri" w:cs="Calibri"/>
          <w:szCs w:val="24"/>
          <w:lang w:eastAsia="ja-JP"/>
        </w:rPr>
        <w:t>Figure 1 Top-down sequence of inter-donor IAB migration</w:t>
      </w:r>
    </w:p>
    <w:p w14:paraId="6FD6D2F7" w14:textId="77777777" w:rsidR="00173190" w:rsidRDefault="00173190" w:rsidP="00173190">
      <w:pPr>
        <w:spacing w:after="0" w:line="240" w:lineRule="atLeast"/>
        <w:rPr>
          <w:rFonts w:ascii="Calibri" w:hAnsi="Calibri" w:cs="Calibri"/>
          <w:szCs w:val="24"/>
          <w:lang w:eastAsia="ja-JP"/>
        </w:rPr>
      </w:pPr>
    </w:p>
    <w:p w14:paraId="1F683416" w14:textId="77777777" w:rsidR="002A43B1" w:rsidRDefault="00173190" w:rsidP="00883EB5">
      <w:pPr>
        <w:spacing w:after="0" w:line="240" w:lineRule="atLeast"/>
        <w:rPr>
          <w:rFonts w:ascii="Calibri" w:hAnsi="Calibri" w:cs="Calibri"/>
          <w:szCs w:val="24"/>
          <w:lang w:eastAsia="ja-JP"/>
        </w:rPr>
      </w:pPr>
      <w:r w:rsidRPr="00173190">
        <w:rPr>
          <w:rFonts w:ascii="Calibri" w:hAnsi="Calibri" w:cs="Calibri"/>
          <w:szCs w:val="24"/>
          <w:lang w:eastAsia="ja-JP"/>
        </w:rPr>
        <w:lastRenderedPageBreak/>
        <w:t>Figure 1 shows the top-down sequence example of inter-donor IAB migration. During this migration, the IAB-MT executes a handover to target IAB-donor while the UE is still connected to the source IAB-DU. At this moment, although the actual wireless BH connection provided by source IAB-DU for the UE has disappeared, the UE’s configuration with the source IAB-donor has not changed yet. If at this moment, there are some data for the UE, a route from source IAB-donor-CU to source IAB-DU has to be established temporarily to forward the data. Therefore, a mechanism to perform C-Plane &amp; U-Plane data forwarding for UE via the IAB network needs to be studied.</w:t>
      </w:r>
    </w:p>
    <w:p w14:paraId="7BA2E843" w14:textId="77777777" w:rsidR="002A43B1" w:rsidRDefault="002A43B1" w:rsidP="00883EB5">
      <w:pPr>
        <w:spacing w:after="0" w:line="240" w:lineRule="atLeast"/>
        <w:rPr>
          <w:rFonts w:ascii="Calibri" w:hAnsi="Calibri" w:cs="Calibri"/>
          <w:szCs w:val="24"/>
          <w:lang w:eastAsia="ja-JP"/>
        </w:rPr>
      </w:pPr>
    </w:p>
    <w:p w14:paraId="33B53BFD" w14:textId="77777777" w:rsidR="00173190" w:rsidRDefault="00173190" w:rsidP="00173190">
      <w:pPr>
        <w:pStyle w:val="3"/>
        <w:numPr>
          <w:ilvl w:val="1"/>
          <w:numId w:val="1"/>
        </w:numPr>
        <w:overflowPunct/>
        <w:autoSpaceDE/>
        <w:autoSpaceDN/>
        <w:adjustRightInd/>
        <w:ind w:rightChars="100" w:right="220"/>
        <w:textAlignment w:val="auto"/>
        <w:rPr>
          <w:rFonts w:ascii="Calibri" w:hAnsi="Calibri" w:cs="Calibri"/>
          <w:szCs w:val="24"/>
          <w:lang w:eastAsia="ja-JP"/>
        </w:rPr>
      </w:pPr>
      <w:bookmarkStart w:id="1" w:name="_Hlk61386579"/>
      <w:r>
        <w:rPr>
          <w:rFonts w:ascii="Calibri" w:hAnsi="Calibri" w:cs="Calibri"/>
          <w:szCs w:val="24"/>
          <w:lang w:eastAsia="ja-JP"/>
        </w:rPr>
        <w:t>Data forwarding route</w:t>
      </w:r>
    </w:p>
    <w:p w14:paraId="4ACB373F" w14:textId="35536DDE" w:rsidR="00173190" w:rsidRDefault="00173190" w:rsidP="00173190">
      <w:pPr>
        <w:spacing w:after="240" w:line="300" w:lineRule="exact"/>
        <w:rPr>
          <w:rFonts w:ascii="Calibri" w:hAnsi="Calibri" w:cs="Calibri"/>
          <w:szCs w:val="24"/>
          <w:lang w:val="en-GB" w:eastAsia="ja-JP"/>
        </w:rPr>
      </w:pPr>
      <w:r>
        <w:rPr>
          <w:rFonts w:ascii="Calibri" w:hAnsi="Calibri" w:cs="Calibri"/>
          <w:szCs w:val="24"/>
          <w:lang w:val="en-GB" w:eastAsia="ja-JP"/>
        </w:rPr>
        <w:t>As the connection between IAB-MT and target IAB-donor has been established, one might consider using the route from source IAB-DU to target IAB-donor to forward the UE data. The protocol stack</w:t>
      </w:r>
      <w:r w:rsidR="00B43E32">
        <w:rPr>
          <w:rFonts w:ascii="Calibri" w:hAnsi="Calibri" w:cs="Calibri"/>
          <w:szCs w:val="24"/>
          <w:lang w:val="en-GB" w:eastAsia="ja-JP"/>
        </w:rPr>
        <w:t>s</w:t>
      </w:r>
      <w:r>
        <w:rPr>
          <w:rFonts w:ascii="Calibri" w:hAnsi="Calibri" w:cs="Calibri"/>
          <w:szCs w:val="24"/>
          <w:lang w:val="en-GB" w:eastAsia="ja-JP"/>
        </w:rPr>
        <w:t xml:space="preserve"> shown in figure 2</w:t>
      </w:r>
      <w:r w:rsidR="00FF4FD8">
        <w:rPr>
          <w:rFonts w:ascii="Calibri" w:hAnsi="Calibri" w:cs="Calibri"/>
          <w:szCs w:val="24"/>
          <w:lang w:val="en-GB" w:eastAsia="ja-JP"/>
        </w:rPr>
        <w:t xml:space="preserve"> and figure 3</w:t>
      </w:r>
      <w:r>
        <w:rPr>
          <w:rFonts w:ascii="Calibri" w:hAnsi="Calibri" w:cs="Calibri"/>
          <w:szCs w:val="24"/>
          <w:lang w:val="en-GB" w:eastAsia="ja-JP"/>
        </w:rPr>
        <w:t xml:space="preserve"> highlight that the data which is ciphered on the PDCP layer, only exists within the UE and the IAB-donor protocol stack, meaning that only the UE and the IAB-donor know the ciphering key. In Rel-16 IAB, there is no PDCP layer in the IAB protocol, therefore, in the scenario in figure 1, when the ciphered UE data arrived at source IAB-DU, it just forwards to the next hop without decapsulating the packet. If the UE data is forwarded via route from source IAB-DU to target IAB-donor, as target IAB-donor does not know the ciphering key of UE, it cannot decapsulate the data. Thus, to correctly decapsulate the UE data, a data forwarding route from the source IAB-donor to source IAB-DU via the connection between target IAB-donor and target IAB-DU should be studied.</w:t>
      </w:r>
    </w:p>
    <w:bookmarkEnd w:id="1"/>
    <w:p w14:paraId="711339A9" w14:textId="77777777" w:rsidR="00173190" w:rsidRDefault="00173190" w:rsidP="00173190">
      <w:pPr>
        <w:spacing w:after="0" w:line="240" w:lineRule="auto"/>
        <w:jc w:val="center"/>
        <w:rPr>
          <w:rFonts w:ascii="Calibri" w:hAnsi="Calibri" w:cs="Calibri"/>
          <w:b/>
          <w:szCs w:val="24"/>
          <w:lang w:val="en-GB" w:eastAsia="ja-JP"/>
        </w:rPr>
      </w:pPr>
      <w:r>
        <w:rPr>
          <w:rFonts w:ascii="Calibri" w:hAnsi="Calibri" w:cs="Calibri"/>
          <w:b/>
          <w:szCs w:val="24"/>
          <w:lang w:val="en-GB" w:eastAsia="ja-JP"/>
        </w:rPr>
        <w:object w:dxaOrig="8355" w:dyaOrig="4081" w14:anchorId="7D2E8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3.9pt" o:ole="">
            <v:imagedata r:id="rId9" o:title=""/>
          </v:shape>
          <o:OLEObject Type="Embed" ProgID="Visio.Drawing.11" ShapeID="_x0000_i1025" DrawAspect="Content" ObjectID="_1672170801" r:id="rId10"/>
        </w:object>
      </w:r>
    </w:p>
    <w:p w14:paraId="0997F711" w14:textId="77777777" w:rsidR="00173190" w:rsidRDefault="00173190" w:rsidP="00173190">
      <w:pPr>
        <w:spacing w:after="0" w:line="240" w:lineRule="auto"/>
        <w:jc w:val="center"/>
        <w:rPr>
          <w:rFonts w:ascii="Calibri" w:hAnsi="Calibri" w:cs="Calibri"/>
          <w:b/>
          <w:szCs w:val="24"/>
          <w:lang w:val="en-GB" w:eastAsia="ja-JP"/>
        </w:rPr>
      </w:pPr>
      <w:r w:rsidRPr="00615276">
        <w:rPr>
          <w:rFonts w:ascii="Calibri" w:hAnsi="Calibri" w:cs="Calibri"/>
          <w:szCs w:val="24"/>
          <w:lang w:val="en-GB" w:eastAsia="ja-JP"/>
        </w:rPr>
        <w:t>Figure 2. IAB protocol stack for support F</w:t>
      </w:r>
      <w:r>
        <w:rPr>
          <w:rFonts w:ascii="Calibri" w:hAnsi="Calibri" w:cs="Calibri" w:hint="eastAsia"/>
          <w:szCs w:val="24"/>
          <w:lang w:val="en-GB" w:eastAsia="ja-JP"/>
        </w:rPr>
        <w:t>1</w:t>
      </w:r>
      <w:r w:rsidRPr="00615276">
        <w:rPr>
          <w:rFonts w:ascii="Calibri" w:hAnsi="Calibri" w:cs="Calibri"/>
          <w:szCs w:val="24"/>
          <w:lang w:val="en-GB" w:eastAsia="ja-JP"/>
        </w:rPr>
        <w:t xml:space="preserve">-U </w:t>
      </w:r>
      <w:r>
        <w:rPr>
          <w:rFonts w:ascii="Calibri" w:hAnsi="Calibri" w:cs="Calibri"/>
          <w:szCs w:val="24"/>
          <w:lang w:val="en-GB" w:eastAsia="ja-JP"/>
        </w:rPr>
        <w:t>protocol</w:t>
      </w:r>
    </w:p>
    <w:p w14:paraId="25EE0598" w14:textId="77777777" w:rsidR="00173190" w:rsidRDefault="00173190" w:rsidP="00173190">
      <w:pPr>
        <w:spacing w:after="0" w:line="240" w:lineRule="auto"/>
        <w:rPr>
          <w:rFonts w:ascii="Calibri" w:hAnsi="Calibri" w:cs="Calibri"/>
          <w:b/>
          <w:szCs w:val="24"/>
          <w:lang w:val="en-GB" w:eastAsia="ja-JP"/>
        </w:rPr>
      </w:pPr>
    </w:p>
    <w:p w14:paraId="37595776" w14:textId="77777777" w:rsidR="00173190" w:rsidRDefault="00173190" w:rsidP="00173190">
      <w:pPr>
        <w:spacing w:after="0" w:line="240" w:lineRule="auto"/>
        <w:rPr>
          <w:rFonts w:ascii="Calibri" w:hAnsi="Calibri" w:cs="Calibri"/>
          <w:b/>
          <w:szCs w:val="24"/>
          <w:lang w:val="en-GB" w:eastAsia="ja-JP"/>
        </w:rPr>
      </w:pPr>
    </w:p>
    <w:p w14:paraId="797D0907" w14:textId="77777777" w:rsidR="007B0732" w:rsidRDefault="007B0732" w:rsidP="007B0732">
      <w:pPr>
        <w:spacing w:after="0" w:line="240" w:lineRule="auto"/>
        <w:jc w:val="center"/>
        <w:rPr>
          <w:rFonts w:ascii="Calibri" w:hAnsi="Calibri" w:cs="Calibri"/>
          <w:b/>
          <w:szCs w:val="24"/>
          <w:lang w:val="en-GB" w:eastAsia="ja-JP"/>
        </w:rPr>
      </w:pPr>
      <w:r>
        <w:rPr>
          <w:rFonts w:ascii="Calibri" w:hAnsi="Calibri" w:cs="Calibri"/>
          <w:b/>
          <w:szCs w:val="24"/>
          <w:lang w:val="en-GB" w:eastAsia="ja-JP"/>
        </w:rPr>
        <w:object w:dxaOrig="8355" w:dyaOrig="4081" w14:anchorId="7DD98658">
          <v:shape id="_x0000_i1026" type="#_x0000_t75" style="width:417.6pt;height:203.9pt" o:ole="">
            <v:imagedata r:id="rId9" o:title=""/>
          </v:shape>
          <o:OLEObject Type="Embed" ProgID="Visio.Drawing.11" ShapeID="_x0000_i1026" DrawAspect="Content" ObjectID="_1672170802" r:id="rId11"/>
        </w:object>
      </w:r>
    </w:p>
    <w:p w14:paraId="4CD05677" w14:textId="77777777" w:rsidR="007B0732" w:rsidRDefault="007B0732" w:rsidP="007B0732">
      <w:pPr>
        <w:spacing w:after="0" w:line="240" w:lineRule="auto"/>
        <w:jc w:val="center"/>
        <w:rPr>
          <w:rFonts w:ascii="Calibri" w:hAnsi="Calibri" w:cs="Calibri"/>
          <w:b/>
          <w:szCs w:val="24"/>
          <w:lang w:val="en-GB" w:eastAsia="ja-JP"/>
        </w:rPr>
      </w:pPr>
      <w:r w:rsidRPr="00615276">
        <w:rPr>
          <w:rFonts w:ascii="Calibri" w:hAnsi="Calibri" w:cs="Calibri"/>
          <w:szCs w:val="24"/>
          <w:lang w:val="en-GB" w:eastAsia="ja-JP"/>
        </w:rPr>
        <w:t xml:space="preserve">Figure </w:t>
      </w:r>
      <w:r>
        <w:rPr>
          <w:rFonts w:ascii="Calibri" w:hAnsi="Calibri" w:cs="Calibri"/>
          <w:szCs w:val="24"/>
          <w:lang w:val="en-GB" w:eastAsia="ja-JP"/>
        </w:rPr>
        <w:t>3</w:t>
      </w:r>
      <w:r w:rsidRPr="00615276">
        <w:rPr>
          <w:rFonts w:ascii="Calibri" w:hAnsi="Calibri" w:cs="Calibri"/>
          <w:szCs w:val="24"/>
          <w:lang w:val="en-GB" w:eastAsia="ja-JP"/>
        </w:rPr>
        <w:t>. IAB protocol stack for support F</w:t>
      </w:r>
      <w:r>
        <w:rPr>
          <w:rFonts w:ascii="Calibri" w:hAnsi="Calibri" w:cs="Calibri" w:hint="eastAsia"/>
          <w:szCs w:val="24"/>
          <w:lang w:val="en-GB" w:eastAsia="ja-JP"/>
        </w:rPr>
        <w:t>1</w:t>
      </w:r>
      <w:r w:rsidRPr="00615276">
        <w:rPr>
          <w:rFonts w:ascii="Calibri" w:hAnsi="Calibri" w:cs="Calibri"/>
          <w:szCs w:val="24"/>
          <w:lang w:val="en-GB" w:eastAsia="ja-JP"/>
        </w:rPr>
        <w:t>-</w:t>
      </w:r>
      <w:r>
        <w:rPr>
          <w:rFonts w:ascii="Calibri" w:hAnsi="Calibri" w:cs="Calibri"/>
          <w:szCs w:val="24"/>
          <w:lang w:val="en-GB" w:eastAsia="ja-JP"/>
        </w:rPr>
        <w:t>C</w:t>
      </w:r>
      <w:r w:rsidRPr="00615276">
        <w:rPr>
          <w:rFonts w:ascii="Calibri" w:hAnsi="Calibri" w:cs="Calibri"/>
          <w:szCs w:val="24"/>
          <w:lang w:val="en-GB" w:eastAsia="ja-JP"/>
        </w:rPr>
        <w:t xml:space="preserve"> </w:t>
      </w:r>
      <w:r>
        <w:rPr>
          <w:rFonts w:ascii="Calibri" w:hAnsi="Calibri" w:cs="Calibri"/>
          <w:szCs w:val="24"/>
          <w:lang w:val="en-GB" w:eastAsia="ja-JP"/>
        </w:rPr>
        <w:t>protocol</w:t>
      </w:r>
    </w:p>
    <w:p w14:paraId="6F91F60F" w14:textId="77777777" w:rsidR="002A43B1" w:rsidRPr="007B0732" w:rsidRDefault="002A43B1" w:rsidP="00883EB5">
      <w:pPr>
        <w:spacing w:after="0" w:line="240" w:lineRule="atLeast"/>
        <w:rPr>
          <w:rFonts w:ascii="Calibri" w:hAnsi="Calibri" w:cs="Calibri"/>
          <w:szCs w:val="24"/>
          <w:lang w:val="en-GB" w:eastAsia="ja-JP"/>
        </w:rPr>
      </w:pPr>
    </w:p>
    <w:p w14:paraId="4D998DB1" w14:textId="77777777" w:rsidR="002A43B1" w:rsidRDefault="002A43B1" w:rsidP="00883EB5">
      <w:pPr>
        <w:spacing w:after="0" w:line="240" w:lineRule="atLeast"/>
        <w:rPr>
          <w:rFonts w:ascii="Calibri" w:hAnsi="Calibri" w:cs="Calibri"/>
          <w:szCs w:val="24"/>
          <w:lang w:eastAsia="ja-JP"/>
        </w:rPr>
      </w:pPr>
    </w:p>
    <w:p w14:paraId="16DD9D0A" w14:textId="00A06259" w:rsidR="00E417A4" w:rsidRDefault="00E417A4" w:rsidP="00E417A4">
      <w:pPr>
        <w:spacing w:after="240" w:line="300" w:lineRule="exact"/>
        <w:rPr>
          <w:rFonts w:ascii="Calibri" w:hAnsi="Calibri" w:cs="Calibri"/>
          <w:b/>
          <w:szCs w:val="24"/>
          <w:lang w:val="en-GB" w:eastAsia="ja-JP"/>
        </w:rPr>
      </w:pPr>
      <w:r>
        <w:rPr>
          <w:rFonts w:ascii="Calibri" w:hAnsi="Calibri" w:cs="Calibri" w:hint="eastAsia"/>
          <w:b/>
          <w:szCs w:val="24"/>
          <w:lang w:val="en-GB" w:eastAsia="ja-JP"/>
        </w:rPr>
        <w:t>O</w:t>
      </w:r>
      <w:r>
        <w:rPr>
          <w:rFonts w:ascii="Calibri" w:hAnsi="Calibri" w:cs="Calibri"/>
          <w:b/>
          <w:szCs w:val="24"/>
          <w:lang w:val="en-GB" w:eastAsia="ja-JP"/>
        </w:rPr>
        <w:t xml:space="preserve">bservation 1: </w:t>
      </w:r>
      <w:bookmarkStart w:id="2" w:name="_Hlk61387929"/>
      <w:r w:rsidR="005908C1">
        <w:rPr>
          <w:rFonts w:ascii="Calibri" w:hAnsi="Calibri" w:cs="Calibri"/>
          <w:b/>
          <w:szCs w:val="24"/>
          <w:lang w:val="en-GB" w:eastAsia="ja-JP"/>
        </w:rPr>
        <w:t xml:space="preserve">With top-down sequence, after IAB-MT migration, </w:t>
      </w:r>
      <w:bookmarkEnd w:id="2"/>
      <w:r w:rsidR="005908C1">
        <w:rPr>
          <w:rFonts w:ascii="Calibri" w:hAnsi="Calibri" w:cs="Calibri"/>
          <w:b/>
          <w:szCs w:val="24"/>
          <w:lang w:val="en-GB" w:eastAsia="ja-JP"/>
        </w:rPr>
        <w:t>the data originated from the UE should be forwarded to the source IAB donor, since the target IAB donor cannot decipher the data and only the source IAB donor having its PDCP ciphering key can decipher the data.</w:t>
      </w:r>
    </w:p>
    <w:p w14:paraId="4EDE4506" w14:textId="77777777" w:rsidR="00E417A4" w:rsidRPr="00BC7559" w:rsidRDefault="00E417A4" w:rsidP="00E417A4">
      <w:pPr>
        <w:spacing w:after="240" w:line="300" w:lineRule="exact"/>
        <w:rPr>
          <w:rFonts w:ascii="Calibri" w:hAnsi="Calibri" w:cs="Calibri"/>
          <w:b/>
          <w:szCs w:val="24"/>
          <w:lang w:val="en-GB" w:eastAsia="ja-JP"/>
        </w:rPr>
      </w:pPr>
      <w:r>
        <w:rPr>
          <w:rFonts w:ascii="Calibri" w:hAnsi="Calibri" w:cs="Calibri"/>
          <w:b/>
          <w:szCs w:val="24"/>
          <w:lang w:val="en-GB" w:eastAsia="ja-JP"/>
        </w:rPr>
        <w:t>Proposal 1:</w:t>
      </w:r>
      <w:r w:rsidRPr="008E6E8A">
        <w:rPr>
          <w:rFonts w:ascii="Calibri" w:hAnsi="Calibri" w:cs="Calibri"/>
          <w:b/>
          <w:szCs w:val="24"/>
          <w:lang w:val="en-GB" w:eastAsia="ja-JP"/>
        </w:rPr>
        <w:t xml:space="preserve"> </w:t>
      </w:r>
      <w:r>
        <w:rPr>
          <w:rFonts w:ascii="Calibri" w:hAnsi="Calibri" w:cs="Calibri"/>
          <w:b/>
          <w:szCs w:val="24"/>
          <w:lang w:val="en-GB" w:eastAsia="ja-JP"/>
        </w:rPr>
        <w:t>The d</w:t>
      </w:r>
      <w:r w:rsidRPr="008E6E8A">
        <w:rPr>
          <w:rFonts w:ascii="Calibri" w:hAnsi="Calibri" w:cs="Calibri"/>
          <w:b/>
          <w:szCs w:val="24"/>
          <w:lang w:val="en-GB" w:eastAsia="ja-JP"/>
        </w:rPr>
        <w:t xml:space="preserve">ata forwarding route from </w:t>
      </w:r>
      <w:r>
        <w:rPr>
          <w:rFonts w:ascii="Calibri" w:hAnsi="Calibri" w:cs="Calibri"/>
          <w:b/>
          <w:szCs w:val="24"/>
          <w:lang w:val="en-GB" w:eastAsia="ja-JP"/>
        </w:rPr>
        <w:t xml:space="preserve">the </w:t>
      </w:r>
      <w:r w:rsidRPr="008E6E8A">
        <w:rPr>
          <w:rFonts w:ascii="Calibri" w:hAnsi="Calibri" w:cs="Calibri"/>
          <w:b/>
          <w:szCs w:val="24"/>
          <w:lang w:val="en-GB" w:eastAsia="ja-JP"/>
        </w:rPr>
        <w:t xml:space="preserve">source IAB-donor to </w:t>
      </w:r>
      <w:r>
        <w:rPr>
          <w:rFonts w:ascii="Calibri" w:hAnsi="Calibri" w:cs="Calibri"/>
          <w:b/>
          <w:szCs w:val="24"/>
          <w:lang w:val="en-GB" w:eastAsia="ja-JP"/>
        </w:rPr>
        <w:t>the source IAB-DU</w:t>
      </w:r>
      <w:r w:rsidRPr="008E6E8A">
        <w:rPr>
          <w:rFonts w:ascii="Calibri" w:hAnsi="Calibri" w:cs="Calibri"/>
          <w:b/>
          <w:szCs w:val="24"/>
          <w:lang w:val="en-GB" w:eastAsia="ja-JP"/>
        </w:rPr>
        <w:t xml:space="preserve"> via the connection between </w:t>
      </w:r>
      <w:r>
        <w:rPr>
          <w:rFonts w:ascii="Calibri" w:hAnsi="Calibri" w:cs="Calibri"/>
          <w:b/>
          <w:szCs w:val="24"/>
          <w:lang w:val="en-GB" w:eastAsia="ja-JP"/>
        </w:rPr>
        <w:t xml:space="preserve">the </w:t>
      </w:r>
      <w:r w:rsidRPr="008E6E8A">
        <w:rPr>
          <w:rFonts w:ascii="Calibri" w:hAnsi="Calibri" w:cs="Calibri"/>
          <w:b/>
          <w:szCs w:val="24"/>
          <w:lang w:val="en-GB" w:eastAsia="ja-JP"/>
        </w:rPr>
        <w:t xml:space="preserve">target IAB-donor and </w:t>
      </w:r>
      <w:r>
        <w:rPr>
          <w:rFonts w:ascii="Calibri" w:hAnsi="Calibri" w:cs="Calibri"/>
          <w:b/>
          <w:szCs w:val="24"/>
          <w:lang w:val="en-GB" w:eastAsia="ja-JP"/>
        </w:rPr>
        <w:t xml:space="preserve">the </w:t>
      </w:r>
      <w:r w:rsidRPr="008E6E8A">
        <w:rPr>
          <w:rFonts w:ascii="Calibri" w:hAnsi="Calibri" w:cs="Calibri"/>
          <w:b/>
          <w:szCs w:val="24"/>
          <w:lang w:val="en-GB" w:eastAsia="ja-JP"/>
        </w:rPr>
        <w:t>target IAB-DU should be studied</w:t>
      </w:r>
      <w:r>
        <w:rPr>
          <w:rFonts w:ascii="Calibri" w:hAnsi="Calibri" w:cs="Calibri"/>
          <w:b/>
          <w:szCs w:val="24"/>
          <w:lang w:val="en-GB" w:eastAsia="ja-JP"/>
        </w:rPr>
        <w:t>.</w:t>
      </w:r>
      <w:r w:rsidRPr="008E6E8A">
        <w:rPr>
          <w:rFonts w:ascii="Calibri" w:hAnsi="Calibri" w:cs="Calibri"/>
          <w:b/>
          <w:szCs w:val="24"/>
          <w:lang w:val="en-GB" w:eastAsia="ja-JP"/>
        </w:rPr>
        <w:t xml:space="preserve"> </w:t>
      </w:r>
    </w:p>
    <w:p w14:paraId="400AE074" w14:textId="77777777" w:rsidR="00E417A4" w:rsidRDefault="00E417A4" w:rsidP="00E417A4">
      <w:pPr>
        <w:pStyle w:val="3"/>
        <w:numPr>
          <w:ilvl w:val="1"/>
          <w:numId w:val="1"/>
        </w:numPr>
        <w:overflowPunct/>
        <w:autoSpaceDE/>
        <w:autoSpaceDN/>
        <w:adjustRightInd/>
        <w:ind w:rightChars="100" w:right="220"/>
        <w:textAlignment w:val="auto"/>
        <w:rPr>
          <w:rFonts w:ascii="Calibri" w:hAnsi="Calibri" w:cs="Calibri"/>
          <w:szCs w:val="24"/>
          <w:lang w:eastAsia="ja-JP"/>
        </w:rPr>
      </w:pPr>
      <w:r>
        <w:rPr>
          <w:rFonts w:ascii="Calibri" w:hAnsi="Calibri" w:cs="Calibri"/>
          <w:szCs w:val="24"/>
          <w:lang w:eastAsia="ja-JP"/>
        </w:rPr>
        <w:t xml:space="preserve"> Routing mechanism</w:t>
      </w:r>
    </w:p>
    <w:p w14:paraId="7C51A3D8" w14:textId="77777777" w:rsidR="00E417A4" w:rsidRDefault="00E417A4" w:rsidP="00E417A4">
      <w:pPr>
        <w:spacing w:after="240" w:line="300" w:lineRule="exact"/>
        <w:rPr>
          <w:rFonts w:ascii="Calibri" w:hAnsi="Calibri" w:cs="Calibri"/>
          <w:szCs w:val="24"/>
          <w:lang w:val="en-GB" w:eastAsia="ja-JP"/>
        </w:rPr>
      </w:pPr>
      <w:r>
        <w:rPr>
          <w:rFonts w:ascii="Calibri" w:hAnsi="Calibri" w:cs="Calibri"/>
          <w:szCs w:val="24"/>
          <w:lang w:val="en-GB" w:eastAsia="ja-JP"/>
        </w:rPr>
        <w:t xml:space="preserve">To establish the route from source IAB-donor to source IAB-DU via target IAB-donor and target IAB-DU, a way to identify the address of each node on the route should also be considered. </w:t>
      </w:r>
    </w:p>
    <w:p w14:paraId="63079046" w14:textId="77777777" w:rsidR="00E417A4" w:rsidRDefault="00E417A4" w:rsidP="00E417A4">
      <w:pPr>
        <w:spacing w:after="240" w:line="300" w:lineRule="exact"/>
        <w:rPr>
          <w:rFonts w:ascii="Calibri" w:hAnsi="Calibri" w:cs="Calibri"/>
          <w:szCs w:val="24"/>
          <w:lang w:val="en-GB" w:eastAsia="ja-JP"/>
        </w:rPr>
      </w:pPr>
      <w:r>
        <w:rPr>
          <w:rFonts w:ascii="Calibri" w:hAnsi="Calibri" w:cs="Calibri"/>
          <w:szCs w:val="24"/>
          <w:lang w:val="en-GB" w:eastAsia="ja-JP"/>
        </w:rPr>
        <w:t>Upon the backhaul link between IAB-donor to migration IAB-node, although in Rel-16, each IAB node can be configured with an IP address for easier network management, it is the BAP protocol to route packets, in which a BAP destination and path ID is configured to decide the next hop of the packet. Therefore, after IAB-MT migrated to target IAB-donor, target IAB-donor will assign a BAP address and path ID for target IAB-DU. If target IAB-donor needs to help source IAB-donor to forward its DL packets to source IAB-DU, or if the target IAB-donor needs to help source IAB-DU to forward its UL packets to source IAB-donor-CU, a mechanism for target IAB-donor to identify the address of source IAB-DU might need to be considered.  For example, the target IAB-donor could configure new BAP address for source IAB-DU, so that the source IAB-DU can send its packet with destination BAP address of target IAB-donor, but destination IP address of source IAB-donor to target IAB-donor.</w:t>
      </w:r>
    </w:p>
    <w:p w14:paraId="7E189DD3" w14:textId="77777777" w:rsidR="00E417A4" w:rsidRDefault="00E417A4" w:rsidP="00E417A4">
      <w:pPr>
        <w:spacing w:after="240" w:line="300" w:lineRule="exact"/>
        <w:rPr>
          <w:rFonts w:ascii="Calibri" w:hAnsi="Calibri" w:cs="Calibri"/>
          <w:szCs w:val="24"/>
          <w:lang w:val="en-GB" w:eastAsia="ja-JP"/>
        </w:rPr>
      </w:pPr>
      <w:r>
        <w:rPr>
          <w:rFonts w:ascii="Calibri" w:hAnsi="Calibri" w:cs="Calibri"/>
          <w:szCs w:val="24"/>
          <w:lang w:val="en-GB" w:eastAsia="ja-JP"/>
        </w:rPr>
        <w:t>Then, the connections between source IAB-donor and target IAB-donor, including the CU and DU equipment, are wireline, so that it is possible for source IAB-donor and target IAB-donor to negotiate each other’s IP address, which means each donor node can be identified by IP address and the data forwarding can be done based on IP routing protocol. Without sending out packet with BAP header to source IAB-DU, source IAB-donor just send IP packet to target IAB-donor. After identify the IP address, target IAB-donor will decide to forward to source IAB-</w:t>
      </w:r>
      <w:r>
        <w:rPr>
          <w:rFonts w:ascii="Calibri" w:hAnsi="Calibri" w:cs="Calibri"/>
          <w:szCs w:val="24"/>
          <w:lang w:val="en-GB" w:eastAsia="ja-JP"/>
        </w:rPr>
        <w:lastRenderedPageBreak/>
        <w:t xml:space="preserve">DU or target IAB-DU. </w:t>
      </w:r>
      <w:proofErr w:type="gramStart"/>
      <w:r>
        <w:rPr>
          <w:rFonts w:ascii="Calibri" w:hAnsi="Calibri" w:cs="Calibri"/>
          <w:szCs w:val="24"/>
          <w:lang w:val="en-GB" w:eastAsia="ja-JP"/>
        </w:rPr>
        <w:t>Also</w:t>
      </w:r>
      <w:proofErr w:type="gramEnd"/>
      <w:r>
        <w:rPr>
          <w:rFonts w:ascii="Calibri" w:hAnsi="Calibri" w:cs="Calibri"/>
          <w:szCs w:val="24"/>
          <w:lang w:val="en-GB" w:eastAsia="ja-JP"/>
        </w:rPr>
        <w:t xml:space="preserve"> for packet from source IAB-DU or target IAB-DU, target IAB-donor can also check the destination IP address to confirm if the packet is for itself or for source IAB-donor.</w:t>
      </w:r>
    </w:p>
    <w:p w14:paraId="116BA636" w14:textId="77777777" w:rsidR="00E417A4" w:rsidRDefault="00E417A4" w:rsidP="00E417A4">
      <w:pPr>
        <w:spacing w:after="240" w:line="300" w:lineRule="exact"/>
        <w:rPr>
          <w:rFonts w:ascii="Calibri" w:hAnsi="Calibri" w:cs="Calibri"/>
          <w:szCs w:val="24"/>
          <w:lang w:val="en-GB" w:eastAsia="ja-JP"/>
        </w:rPr>
      </w:pPr>
      <w:r>
        <w:rPr>
          <w:rFonts w:ascii="Calibri" w:hAnsi="Calibri" w:cs="Calibri"/>
          <w:szCs w:val="24"/>
          <w:lang w:val="en-GB" w:eastAsia="ja-JP"/>
        </w:rPr>
        <w:t>Besides, as migrating IAB node is logically separated as source IAB-DU and target IAB-DU. Source IAB-DU is for forwarding UE data before the UE migrating and target IAB-DU is for forwarding data after the UE migrating. It will be easier to manage the network if source IAB-DU and target IAB-DU have different IP address. If some data with destination BAP address of target IAB-DU, but destination IP of source IAB-DU, then target IAB-DU could forward the data to source IAB-DU after checking the destination IP address.</w:t>
      </w:r>
    </w:p>
    <w:p w14:paraId="04E12DCA" w14:textId="77777777" w:rsidR="00BF0188" w:rsidDel="00EB574F" w:rsidRDefault="00BF0188" w:rsidP="00BF0188">
      <w:pPr>
        <w:spacing w:after="240" w:line="300" w:lineRule="exact"/>
        <w:rPr>
          <w:rFonts w:ascii="Calibri" w:hAnsi="Calibri" w:cs="Calibri"/>
          <w:szCs w:val="24"/>
          <w:lang w:val="en-GB" w:eastAsia="ja-JP"/>
        </w:rPr>
      </w:pPr>
      <w:r w:rsidDel="00EB574F">
        <w:rPr>
          <w:rFonts w:ascii="Calibri" w:hAnsi="Calibri" w:cs="Calibri" w:hint="eastAsia"/>
          <w:b/>
          <w:szCs w:val="24"/>
          <w:lang w:val="en-GB" w:eastAsia="ja-JP"/>
        </w:rPr>
        <w:t>O</w:t>
      </w:r>
      <w:r w:rsidDel="00EB574F">
        <w:rPr>
          <w:rFonts w:ascii="Calibri" w:hAnsi="Calibri" w:cs="Calibri"/>
          <w:b/>
          <w:szCs w:val="24"/>
          <w:lang w:val="en-GB" w:eastAsia="ja-JP"/>
        </w:rPr>
        <w:t xml:space="preserve">bservation 2: BAP address </w:t>
      </w:r>
      <w:r>
        <w:rPr>
          <w:rFonts w:ascii="Calibri" w:hAnsi="Calibri" w:cs="Calibri"/>
          <w:b/>
          <w:szCs w:val="24"/>
          <w:lang w:val="en-GB" w:eastAsia="ja-JP"/>
        </w:rPr>
        <w:t>of IAB-MT and BAP address of the target donor DU is used for BAP routing between the source IAB-DU and the target donor DU.</w:t>
      </w:r>
    </w:p>
    <w:p w14:paraId="7004D80C" w14:textId="04942D8F" w:rsidR="00BF0188" w:rsidRPr="00FA010F" w:rsidRDefault="00BF0188" w:rsidP="00E417A4">
      <w:pPr>
        <w:spacing w:after="240" w:line="300" w:lineRule="exact"/>
        <w:rPr>
          <w:rFonts w:ascii="Calibri" w:hAnsi="Calibri" w:cs="Calibri"/>
          <w:b/>
          <w:szCs w:val="24"/>
          <w:lang w:val="en-GB" w:eastAsia="ja-JP"/>
        </w:rPr>
      </w:pPr>
      <w:r w:rsidDel="00EB574F">
        <w:rPr>
          <w:rFonts w:ascii="Calibri" w:hAnsi="Calibri" w:cs="Calibri"/>
          <w:b/>
          <w:szCs w:val="24"/>
          <w:lang w:val="en-GB" w:eastAsia="ja-JP"/>
        </w:rPr>
        <w:t>Proposal</w:t>
      </w:r>
      <w:r w:rsidRPr="00C518B3" w:rsidDel="00EB574F">
        <w:rPr>
          <w:rFonts w:ascii="Calibri" w:hAnsi="Calibri" w:cs="Calibri"/>
          <w:b/>
          <w:szCs w:val="24"/>
          <w:lang w:val="en-GB" w:eastAsia="ja-JP"/>
        </w:rPr>
        <w:t xml:space="preserve"> 2: </w:t>
      </w:r>
      <w:r w:rsidDel="00EB574F">
        <w:rPr>
          <w:rFonts w:ascii="Calibri" w:hAnsi="Calibri" w:cs="Calibri"/>
          <w:b/>
          <w:szCs w:val="24"/>
          <w:lang w:val="en-GB" w:eastAsia="ja-JP"/>
        </w:rPr>
        <w:t xml:space="preserve">RAN3 agree </w:t>
      </w:r>
      <w:r>
        <w:rPr>
          <w:rFonts w:ascii="Calibri" w:hAnsi="Calibri" w:cs="Calibri"/>
          <w:b/>
          <w:szCs w:val="24"/>
          <w:lang w:val="en-GB" w:eastAsia="ja-JP"/>
        </w:rPr>
        <w:t>that w</w:t>
      </w:r>
      <w:r w:rsidRPr="00BB0A0D">
        <w:rPr>
          <w:rFonts w:ascii="Calibri" w:hAnsi="Calibri" w:cs="Calibri"/>
          <w:b/>
          <w:szCs w:val="24"/>
          <w:lang w:val="en-GB" w:eastAsia="ja-JP"/>
        </w:rPr>
        <w:t xml:space="preserve">ith top-down sequence, after IAB-MT migration, </w:t>
      </w:r>
      <w:r>
        <w:rPr>
          <w:rFonts w:ascii="Calibri" w:hAnsi="Calibri" w:cs="Calibri"/>
          <w:b/>
          <w:szCs w:val="24"/>
          <w:lang w:val="en-GB" w:eastAsia="ja-JP"/>
        </w:rPr>
        <w:t xml:space="preserve">the source IAB-DU uses </w:t>
      </w:r>
      <w:r w:rsidDel="00EB574F">
        <w:rPr>
          <w:rFonts w:ascii="Calibri" w:hAnsi="Calibri" w:cs="Calibri"/>
          <w:b/>
          <w:szCs w:val="24"/>
          <w:lang w:val="en-GB" w:eastAsia="ja-JP"/>
        </w:rPr>
        <w:t>new BAP address</w:t>
      </w:r>
      <w:r>
        <w:rPr>
          <w:rFonts w:ascii="Calibri" w:hAnsi="Calibri" w:cs="Calibri"/>
          <w:b/>
          <w:szCs w:val="24"/>
          <w:lang w:val="en-GB" w:eastAsia="ja-JP"/>
        </w:rPr>
        <w:t>es configured to IAB-MT for its BAP routing.</w:t>
      </w:r>
    </w:p>
    <w:p w14:paraId="69D41126" w14:textId="6464BF01" w:rsidR="00E417A4" w:rsidRDefault="00E417A4" w:rsidP="00E417A4">
      <w:pPr>
        <w:spacing w:after="240" w:line="300" w:lineRule="exact"/>
        <w:rPr>
          <w:rFonts w:ascii="Calibri" w:hAnsi="Calibri" w:cs="Calibri"/>
          <w:b/>
          <w:szCs w:val="24"/>
          <w:lang w:val="en-GB" w:eastAsia="ja-JP"/>
        </w:rPr>
      </w:pPr>
      <w:r>
        <w:rPr>
          <w:rFonts w:ascii="Calibri" w:hAnsi="Calibri" w:cs="Calibri" w:hint="eastAsia"/>
          <w:b/>
          <w:szCs w:val="24"/>
          <w:lang w:val="en-GB" w:eastAsia="ja-JP"/>
        </w:rPr>
        <w:t>O</w:t>
      </w:r>
      <w:r>
        <w:rPr>
          <w:rFonts w:ascii="Calibri" w:hAnsi="Calibri" w:cs="Calibri"/>
          <w:b/>
          <w:szCs w:val="24"/>
          <w:lang w:val="en-GB" w:eastAsia="ja-JP"/>
        </w:rPr>
        <w:t xml:space="preserve">bservation 3: </w:t>
      </w:r>
      <w:r w:rsidR="00BF0188">
        <w:rPr>
          <w:rFonts w:ascii="Calibri" w:hAnsi="Calibri" w:cs="Calibri"/>
          <w:b/>
          <w:szCs w:val="24"/>
          <w:lang w:val="en-GB" w:eastAsia="ja-JP"/>
        </w:rPr>
        <w:t>D</w:t>
      </w:r>
      <w:r>
        <w:rPr>
          <w:rFonts w:ascii="Calibri" w:hAnsi="Calibri" w:cs="Calibri"/>
          <w:b/>
          <w:szCs w:val="24"/>
          <w:lang w:val="en-GB" w:eastAsia="ja-JP"/>
        </w:rPr>
        <w:t>ata could be routed based on IP protocol among the source IAB-donor and target IAB-donor. Also, data forwarding might happen between target IAB-DU and source IAB-DU.</w:t>
      </w:r>
      <w:r w:rsidR="003103C0">
        <w:rPr>
          <w:rFonts w:ascii="Calibri" w:hAnsi="Calibri" w:cs="Calibri"/>
          <w:b/>
          <w:szCs w:val="24"/>
          <w:lang w:val="en-GB" w:eastAsia="ja-JP"/>
        </w:rPr>
        <w:t xml:space="preserve"> IAB-MT forwards the </w:t>
      </w:r>
      <w:r w:rsidR="00650C28">
        <w:rPr>
          <w:rFonts w:ascii="Calibri" w:hAnsi="Calibri" w:cs="Calibri"/>
          <w:b/>
          <w:szCs w:val="24"/>
          <w:lang w:val="en-GB" w:eastAsia="ja-JP"/>
        </w:rPr>
        <w:t>packet</w:t>
      </w:r>
      <w:r w:rsidR="003103C0">
        <w:rPr>
          <w:rFonts w:ascii="Calibri" w:hAnsi="Calibri" w:cs="Calibri"/>
          <w:b/>
          <w:szCs w:val="24"/>
          <w:lang w:val="en-GB" w:eastAsia="ja-JP"/>
        </w:rPr>
        <w:t xml:space="preserve"> from the target IAB donor based on </w:t>
      </w:r>
      <w:r w:rsidR="00650C28">
        <w:rPr>
          <w:rFonts w:ascii="Calibri" w:hAnsi="Calibri" w:cs="Calibri"/>
          <w:b/>
          <w:szCs w:val="24"/>
          <w:lang w:val="en-GB" w:eastAsia="ja-JP"/>
        </w:rPr>
        <w:t>the</w:t>
      </w:r>
      <w:r w:rsidR="003103C0">
        <w:rPr>
          <w:rFonts w:ascii="Calibri" w:hAnsi="Calibri" w:cs="Calibri"/>
          <w:b/>
          <w:szCs w:val="24"/>
          <w:lang w:val="en-GB" w:eastAsia="ja-JP"/>
        </w:rPr>
        <w:t xml:space="preserve"> destination IP address, </w:t>
      </w:r>
      <w:r w:rsidR="00D572FD">
        <w:rPr>
          <w:rFonts w:ascii="Calibri" w:hAnsi="Calibri" w:cs="Calibri"/>
          <w:b/>
          <w:szCs w:val="24"/>
          <w:lang w:val="en-GB" w:eastAsia="ja-JP"/>
        </w:rPr>
        <w:t xml:space="preserve">the IP address of </w:t>
      </w:r>
      <w:r w:rsidR="003103C0">
        <w:rPr>
          <w:rFonts w:ascii="Calibri" w:hAnsi="Calibri" w:cs="Calibri"/>
          <w:b/>
          <w:szCs w:val="24"/>
          <w:lang w:val="en-GB" w:eastAsia="ja-JP"/>
        </w:rPr>
        <w:t>the source IAB DU or the target IAB</w:t>
      </w:r>
      <w:r w:rsidR="00477004">
        <w:rPr>
          <w:rFonts w:ascii="Calibri" w:hAnsi="Calibri" w:cs="Calibri"/>
          <w:b/>
          <w:szCs w:val="24"/>
          <w:lang w:val="en-GB" w:eastAsia="ja-JP"/>
        </w:rPr>
        <w:t>-</w:t>
      </w:r>
      <w:r w:rsidR="003103C0">
        <w:rPr>
          <w:rFonts w:ascii="Calibri" w:hAnsi="Calibri" w:cs="Calibri"/>
          <w:b/>
          <w:szCs w:val="24"/>
          <w:lang w:val="en-GB" w:eastAsia="ja-JP"/>
        </w:rPr>
        <w:t>D</w:t>
      </w:r>
      <w:r w:rsidR="00477004">
        <w:rPr>
          <w:rFonts w:ascii="Calibri" w:hAnsi="Calibri" w:cs="Calibri" w:hint="eastAsia"/>
          <w:b/>
          <w:szCs w:val="24"/>
          <w:lang w:val="en-GB" w:eastAsia="ja-JP"/>
        </w:rPr>
        <w:t>U</w:t>
      </w:r>
    </w:p>
    <w:p w14:paraId="07A2CD1A" w14:textId="77777777" w:rsidR="00E417A4" w:rsidRPr="004D1DD3" w:rsidRDefault="00E417A4" w:rsidP="00E417A4">
      <w:pPr>
        <w:spacing w:after="240" w:line="300" w:lineRule="exact"/>
        <w:rPr>
          <w:rFonts w:ascii="Calibri" w:hAnsi="Calibri" w:cs="Calibri"/>
          <w:b/>
          <w:szCs w:val="24"/>
          <w:lang w:val="en-GB" w:eastAsia="ja-JP"/>
        </w:rPr>
      </w:pPr>
      <w:r w:rsidRPr="004D1DD3">
        <w:rPr>
          <w:rFonts w:ascii="Calibri" w:hAnsi="Calibri" w:cs="Calibri" w:hint="eastAsia"/>
          <w:b/>
          <w:szCs w:val="24"/>
          <w:lang w:val="en-GB" w:eastAsia="ja-JP"/>
        </w:rPr>
        <w:t>P</w:t>
      </w:r>
      <w:r w:rsidRPr="004D1DD3">
        <w:rPr>
          <w:rFonts w:ascii="Calibri" w:hAnsi="Calibri" w:cs="Calibri"/>
          <w:b/>
          <w:szCs w:val="24"/>
          <w:lang w:val="en-GB" w:eastAsia="ja-JP"/>
        </w:rPr>
        <w:t>roposal 3:</w:t>
      </w:r>
      <w:r w:rsidRPr="004D1DD3">
        <w:t xml:space="preserve"> </w:t>
      </w:r>
      <w:r w:rsidRPr="004D1DD3">
        <w:rPr>
          <w:rFonts w:ascii="Calibri" w:hAnsi="Calibri" w:cs="Calibri"/>
          <w:b/>
          <w:szCs w:val="24"/>
          <w:lang w:val="en-GB" w:eastAsia="ja-JP"/>
        </w:rPr>
        <w:t>RAN3 agree that after IAB-MT migration, migrating IAB node has two types of IP addresses, one for source IAB DU and the other for target IAB DU</w:t>
      </w:r>
      <w:r>
        <w:rPr>
          <w:rFonts w:ascii="Calibri" w:hAnsi="Calibri" w:cs="Calibri"/>
          <w:b/>
          <w:szCs w:val="24"/>
          <w:lang w:val="en-GB" w:eastAsia="ja-JP"/>
        </w:rPr>
        <w:t>.</w:t>
      </w:r>
    </w:p>
    <w:p w14:paraId="0BA32050" w14:textId="0B051B75" w:rsidR="00E417A4" w:rsidRDefault="00E417A4" w:rsidP="00E417A4">
      <w:pPr>
        <w:spacing w:after="240" w:line="300" w:lineRule="exact"/>
        <w:rPr>
          <w:rFonts w:ascii="Calibri" w:hAnsi="Calibri" w:cs="Calibri"/>
          <w:szCs w:val="24"/>
          <w:lang w:val="en-GB" w:eastAsia="ja-JP"/>
        </w:rPr>
      </w:pPr>
      <w:r>
        <w:rPr>
          <w:rFonts w:ascii="Calibri" w:hAnsi="Calibri" w:cs="Calibri"/>
          <w:szCs w:val="24"/>
          <w:lang w:val="en-GB" w:eastAsia="ja-JP"/>
        </w:rPr>
        <w:t xml:space="preserve">Once the BAP address and IP address of each node is configured, the routing mechanism should be configured so that the data could be sent to </w:t>
      </w:r>
      <w:r w:rsidR="00477004">
        <w:rPr>
          <w:rFonts w:ascii="Calibri" w:hAnsi="Calibri" w:cs="Calibri"/>
          <w:szCs w:val="24"/>
          <w:lang w:val="en-GB" w:eastAsia="ja-JP"/>
        </w:rPr>
        <w:t>propitiate</w:t>
      </w:r>
      <w:r>
        <w:rPr>
          <w:rFonts w:ascii="Calibri" w:hAnsi="Calibri" w:cs="Calibri"/>
          <w:szCs w:val="24"/>
          <w:lang w:val="en-GB" w:eastAsia="ja-JP"/>
        </w:rPr>
        <w:t xml:space="preserve"> next hop and finally arrived the destination. Below is one possible solution we have considered with the addresses as an example:</w:t>
      </w:r>
    </w:p>
    <w:p w14:paraId="0C1B4394" w14:textId="77777777" w:rsidR="00E417A4" w:rsidRDefault="00E417A4" w:rsidP="00E417A4">
      <w:pPr>
        <w:spacing w:after="240" w:line="300" w:lineRule="exact"/>
        <w:rPr>
          <w:rFonts w:ascii="Calibri" w:eastAsia="SimSun" w:hAnsi="Calibri" w:cs="Calibri"/>
          <w:szCs w:val="24"/>
          <w:lang w:val="en-GB" w:eastAsia="zh-CN"/>
        </w:rPr>
      </w:pPr>
      <w:r>
        <w:rPr>
          <w:rFonts w:ascii="Calibri" w:eastAsia="SimSun" w:hAnsi="Calibri" w:cs="Calibri"/>
          <w:szCs w:val="24"/>
          <w:lang w:val="en-GB" w:eastAsia="zh-CN"/>
        </w:rPr>
        <w:t xml:space="preserve">UL forwarding case: </w:t>
      </w:r>
    </w:p>
    <w:p w14:paraId="0CFC462E" w14:textId="77777777" w:rsidR="00E417A4" w:rsidRDefault="00E417A4" w:rsidP="00E417A4">
      <w:pPr>
        <w:pStyle w:val="a3"/>
        <w:numPr>
          <w:ilvl w:val="0"/>
          <w:numId w:val="6"/>
        </w:numPr>
        <w:spacing w:after="240" w:line="300" w:lineRule="exact"/>
        <w:rPr>
          <w:rFonts w:ascii="Calibri" w:eastAsia="SimSun" w:hAnsi="Calibri" w:cs="Calibri"/>
          <w:szCs w:val="24"/>
          <w:lang w:val="en-GB" w:eastAsia="zh-CN"/>
        </w:rPr>
      </w:pPr>
      <w:r>
        <w:rPr>
          <w:rFonts w:ascii="Calibri" w:eastAsia="SimSun" w:hAnsi="Calibri" w:cs="Calibri"/>
          <w:szCs w:val="24"/>
          <w:lang w:val="en-GB" w:eastAsia="zh-CN"/>
        </w:rPr>
        <w:t>From the target IAB-DU perspective, a UL packet to the target IAB-donor-CU could be configured with the source IP 0x21, source BAP 0x13, destination IP 0x03, and destination BAP 0x11. When the packet arrives at the target IAB-donor-DU, it would be sent to the target IAB-CU based on the destination IP address 0x13.</w:t>
      </w:r>
    </w:p>
    <w:p w14:paraId="451D1C24" w14:textId="77777777" w:rsidR="00E417A4" w:rsidRPr="00D745AC" w:rsidRDefault="00E417A4" w:rsidP="00E417A4">
      <w:pPr>
        <w:pStyle w:val="a3"/>
        <w:numPr>
          <w:ilvl w:val="0"/>
          <w:numId w:val="6"/>
        </w:numPr>
        <w:spacing w:after="240" w:line="300" w:lineRule="exact"/>
        <w:rPr>
          <w:rFonts w:ascii="Calibri" w:eastAsia="SimSun" w:hAnsi="Calibri" w:cs="Calibri"/>
          <w:szCs w:val="24"/>
          <w:lang w:val="en-GB" w:eastAsia="zh-CN"/>
        </w:rPr>
      </w:pPr>
      <w:r>
        <w:rPr>
          <w:rFonts w:ascii="Calibri" w:eastAsia="SimSun" w:hAnsi="Calibri" w:cs="Calibri"/>
          <w:szCs w:val="24"/>
          <w:lang w:val="en-GB" w:eastAsia="zh-CN"/>
        </w:rPr>
        <w:t>From the source IAB-DU perspective, a UL packet to the source IAB-donor-CU could be configured with the source IP 0x11, source BAP 0x03, destination IP 0x01, and destination BAP 0x11. The destination BAP address of the source IAB-DU would be the same as the one for the target IAB-DU because the source IAB-DU would use the same BH link to the target IAB-donor to forward its packet. When the packet arrives at the target IAB-donor-DU, it would send the packet to the source IAB-donor-CU based on the destination IP address 0x01.</w:t>
      </w:r>
    </w:p>
    <w:p w14:paraId="08CD6B38" w14:textId="77777777" w:rsidR="00E417A4" w:rsidRDefault="00E417A4" w:rsidP="00E417A4">
      <w:pPr>
        <w:spacing w:after="240" w:line="300" w:lineRule="exact"/>
        <w:rPr>
          <w:rFonts w:ascii="Calibri" w:eastAsia="SimSun" w:hAnsi="Calibri" w:cs="Calibri"/>
          <w:szCs w:val="24"/>
          <w:lang w:val="en-GB" w:eastAsia="zh-CN"/>
        </w:rPr>
      </w:pPr>
      <w:r>
        <w:rPr>
          <w:rFonts w:ascii="Calibri" w:eastAsia="SimSun" w:hAnsi="Calibri" w:cs="Calibri" w:hint="eastAsia"/>
          <w:szCs w:val="24"/>
          <w:lang w:val="en-GB" w:eastAsia="zh-CN"/>
        </w:rPr>
        <w:t>D</w:t>
      </w:r>
      <w:r>
        <w:rPr>
          <w:rFonts w:ascii="Calibri" w:eastAsia="SimSun" w:hAnsi="Calibri" w:cs="Calibri"/>
          <w:szCs w:val="24"/>
          <w:lang w:val="en-GB" w:eastAsia="zh-CN"/>
        </w:rPr>
        <w:t>L forwarding case:</w:t>
      </w:r>
    </w:p>
    <w:p w14:paraId="4B970A86" w14:textId="77777777" w:rsidR="00E417A4" w:rsidRDefault="00E417A4" w:rsidP="00E417A4">
      <w:pPr>
        <w:pStyle w:val="a3"/>
        <w:numPr>
          <w:ilvl w:val="0"/>
          <w:numId w:val="6"/>
        </w:numPr>
        <w:spacing w:after="240" w:line="300" w:lineRule="exact"/>
        <w:rPr>
          <w:rFonts w:ascii="Calibri" w:eastAsia="SimSun" w:hAnsi="Calibri" w:cs="Calibri"/>
          <w:szCs w:val="24"/>
          <w:lang w:val="en-GB" w:eastAsia="zh-CN"/>
        </w:rPr>
      </w:pPr>
      <w:r>
        <w:rPr>
          <w:rFonts w:ascii="Calibri" w:eastAsia="SimSun" w:hAnsi="Calibri" w:cs="Calibri"/>
          <w:szCs w:val="24"/>
          <w:lang w:val="en-GB" w:eastAsia="zh-CN"/>
        </w:rPr>
        <w:t>From the target IAB-DU perspective, a DL packet from the target IAB-CU could be configured with the source IP 0x03, source BAP 0x11, destination IP 0x21, and destination BAP 0x13. When the packet arrives at the target IAB-DU, it would recognize that the data is for itself and forward to any of its subscribers.</w:t>
      </w:r>
    </w:p>
    <w:p w14:paraId="7C7BA5F2" w14:textId="77777777" w:rsidR="00E417A4" w:rsidRDefault="00E417A4" w:rsidP="00E417A4">
      <w:pPr>
        <w:spacing w:after="0" w:line="240" w:lineRule="atLeast"/>
        <w:rPr>
          <w:rFonts w:ascii="Calibri" w:eastAsia="SimSun" w:hAnsi="Calibri" w:cs="Calibri"/>
          <w:szCs w:val="24"/>
          <w:lang w:val="en-GB" w:eastAsia="zh-CN"/>
        </w:rPr>
      </w:pPr>
      <w:r>
        <w:rPr>
          <w:rFonts w:ascii="Calibri" w:eastAsia="SimSun" w:hAnsi="Calibri" w:cs="Calibri"/>
          <w:szCs w:val="24"/>
          <w:lang w:val="en-GB" w:eastAsia="zh-CN"/>
        </w:rPr>
        <w:lastRenderedPageBreak/>
        <w:t>From the source IAB-DU perspective, a DL packet from the source IAB-CU could be configured with the source IP 0x01, source BAP 0x11, destination IP 0x11, and destination BAP 0x13. The destination BAP address of the source IAB-DU would be the same as the target IAB-DU because the source IAB-DU would use the same BH link to the target IAB-donor to forward its packet. When the packet arrives at the target IAB-DU, it would send the packet to the source IAB-DU based on the destination IP address 0x11.</w:t>
      </w:r>
    </w:p>
    <w:p w14:paraId="2E9A2B01" w14:textId="77777777" w:rsidR="00E417A4" w:rsidRDefault="00E417A4" w:rsidP="00E417A4">
      <w:pPr>
        <w:spacing w:after="0" w:line="240" w:lineRule="atLeast"/>
        <w:rPr>
          <w:rFonts w:ascii="Calibri" w:hAnsi="Calibri" w:cs="Calibri"/>
          <w:szCs w:val="24"/>
          <w:lang w:eastAsia="ja-JP"/>
        </w:rPr>
      </w:pPr>
    </w:p>
    <w:p w14:paraId="6B708307" w14:textId="77777777" w:rsidR="00E417A4" w:rsidRDefault="00807B7F" w:rsidP="00807B7F">
      <w:pPr>
        <w:spacing w:after="0" w:line="240" w:lineRule="atLeast"/>
        <w:jc w:val="center"/>
        <w:rPr>
          <w:rFonts w:ascii="Calibri" w:hAnsi="Calibri" w:cs="Calibri"/>
          <w:szCs w:val="24"/>
          <w:lang w:eastAsia="ja-JP"/>
        </w:rPr>
      </w:pPr>
      <w:r w:rsidRPr="00807B7F">
        <w:rPr>
          <w:rFonts w:ascii="Calibri" w:hAnsi="Calibri" w:cs="Calibri"/>
          <w:noProof/>
          <w:szCs w:val="24"/>
          <w:lang w:eastAsia="ja-JP"/>
        </w:rPr>
        <w:drawing>
          <wp:inline distT="0" distB="0" distL="0" distR="0" wp14:anchorId="1D03E8F7" wp14:editId="3A0CFD1C">
            <wp:extent cx="4219575" cy="4273573"/>
            <wp:effectExtent l="0" t="0" r="0" b="0"/>
            <wp:docPr id="4" name="図 3">
              <a:extLst xmlns:a="http://schemas.openxmlformats.org/drawingml/2006/main">
                <a:ext uri="{FF2B5EF4-FFF2-40B4-BE49-F238E27FC236}">
                  <a16:creationId xmlns:a16="http://schemas.microsoft.com/office/drawing/2014/main" id="{B2B8BD4E-0266-4AAB-87EC-2E1674FFF4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B2B8BD4E-0266-4AAB-87EC-2E1674FFF41E}"/>
                        </a:ext>
                      </a:extLst>
                    </pic:cNvPr>
                    <pic:cNvPicPr>
                      <a:picLocks noChangeAspect="1"/>
                    </pic:cNvPicPr>
                  </pic:nvPicPr>
                  <pic:blipFill>
                    <a:blip r:embed="rId12"/>
                    <a:stretch>
                      <a:fillRect/>
                    </a:stretch>
                  </pic:blipFill>
                  <pic:spPr>
                    <a:xfrm>
                      <a:off x="0" y="0"/>
                      <a:ext cx="4225225" cy="4279295"/>
                    </a:xfrm>
                    <a:prstGeom prst="rect">
                      <a:avLst/>
                    </a:prstGeom>
                  </pic:spPr>
                </pic:pic>
              </a:graphicData>
            </a:graphic>
          </wp:inline>
        </w:drawing>
      </w:r>
    </w:p>
    <w:p w14:paraId="565F9030" w14:textId="77777777" w:rsidR="00D42CE8" w:rsidRDefault="00CF3750" w:rsidP="00807B7F">
      <w:pPr>
        <w:spacing w:after="0" w:line="240" w:lineRule="atLeast"/>
        <w:jc w:val="center"/>
        <w:rPr>
          <w:rFonts w:ascii="Calibri" w:hAnsi="Calibri" w:cs="Calibri"/>
          <w:szCs w:val="24"/>
          <w:lang w:eastAsia="ja-JP"/>
        </w:rPr>
      </w:pPr>
      <w:r w:rsidRPr="00CF3750">
        <w:rPr>
          <w:rFonts w:ascii="Calibri" w:hAnsi="Calibri" w:cs="Calibri"/>
          <w:szCs w:val="24"/>
          <w:lang w:eastAsia="ja-JP"/>
        </w:rPr>
        <w:t xml:space="preserve">Figure </w:t>
      </w:r>
      <w:r w:rsidRPr="00CF3750">
        <w:rPr>
          <w:rFonts w:ascii="Calibri" w:hAnsi="Calibri" w:cs="Calibri" w:hint="eastAsia"/>
          <w:szCs w:val="24"/>
          <w:lang w:eastAsia="ja-JP"/>
        </w:rPr>
        <w:t>4</w:t>
      </w:r>
      <w:r w:rsidRPr="00CF3750">
        <w:rPr>
          <w:rFonts w:ascii="Calibri" w:hAnsi="Calibri" w:cs="Calibri"/>
          <w:szCs w:val="24"/>
          <w:lang w:eastAsia="ja-JP"/>
        </w:rPr>
        <w:t>. example of UL/DL routing mechanism</w:t>
      </w:r>
    </w:p>
    <w:p w14:paraId="2B2B69F7" w14:textId="77777777" w:rsidR="007A4715" w:rsidRPr="00CF3750" w:rsidRDefault="007A4715" w:rsidP="00807B7F">
      <w:pPr>
        <w:spacing w:after="0" w:line="240" w:lineRule="atLeast"/>
        <w:jc w:val="center"/>
        <w:rPr>
          <w:rFonts w:ascii="Calibri" w:hAnsi="Calibri" w:cs="Calibri"/>
          <w:szCs w:val="24"/>
          <w:lang w:eastAsia="ja-JP"/>
        </w:rPr>
      </w:pPr>
    </w:p>
    <w:p w14:paraId="3B8CEB1E" w14:textId="77777777" w:rsidR="00044DD8" w:rsidRDefault="00044DD8" w:rsidP="00044DD8">
      <w:pPr>
        <w:spacing w:after="0" w:line="240" w:lineRule="auto"/>
        <w:rPr>
          <w:rFonts w:ascii="Calibri" w:hAnsi="Calibri" w:cs="Calibri"/>
          <w:szCs w:val="24"/>
          <w:lang w:val="en-GB" w:eastAsia="ja-JP"/>
        </w:rPr>
      </w:pPr>
      <w:r>
        <w:rPr>
          <w:rFonts w:ascii="Calibri" w:hAnsi="Calibri" w:cs="Calibri"/>
          <w:b/>
          <w:szCs w:val="24"/>
          <w:lang w:val="en-GB" w:eastAsia="ja-JP"/>
        </w:rPr>
        <w:t>Proposal</w:t>
      </w:r>
      <w:r w:rsidRPr="00C518B3">
        <w:rPr>
          <w:rFonts w:ascii="Calibri" w:hAnsi="Calibri" w:cs="Calibri"/>
          <w:b/>
          <w:szCs w:val="24"/>
          <w:lang w:val="en-GB" w:eastAsia="ja-JP"/>
        </w:rPr>
        <w:t xml:space="preserve"> </w:t>
      </w:r>
      <w:r>
        <w:rPr>
          <w:rFonts w:ascii="Calibri" w:hAnsi="Calibri" w:cs="Calibri"/>
          <w:b/>
          <w:szCs w:val="24"/>
          <w:lang w:val="en-GB" w:eastAsia="ja-JP"/>
        </w:rPr>
        <w:t>4</w:t>
      </w:r>
      <w:r w:rsidRPr="00C518B3">
        <w:rPr>
          <w:rFonts w:ascii="Calibri" w:hAnsi="Calibri" w:cs="Calibri"/>
          <w:b/>
          <w:szCs w:val="24"/>
          <w:lang w:val="en-GB" w:eastAsia="ja-JP"/>
        </w:rPr>
        <w:t xml:space="preserve">: </w:t>
      </w:r>
      <w:r w:rsidRPr="00647B4F">
        <w:rPr>
          <w:rFonts w:ascii="Calibri" w:hAnsi="Calibri" w:cs="Calibri"/>
          <w:b/>
          <w:szCs w:val="24"/>
          <w:lang w:val="en-GB" w:eastAsia="ja-JP"/>
        </w:rPr>
        <w:t>IP address to BAP address mapping relation should be identified, so that the data forwarding route from source IAB-donor to UE via the connection between target IAB-donor and target IAB-DU is ensured.</w:t>
      </w:r>
    </w:p>
    <w:p w14:paraId="2824B531" w14:textId="77777777" w:rsidR="00044DD8" w:rsidRPr="001E2236" w:rsidRDefault="00044DD8" w:rsidP="00044DD8">
      <w:pPr>
        <w:spacing w:after="0" w:line="240" w:lineRule="auto"/>
        <w:rPr>
          <w:rFonts w:ascii="ＭＳ Ｐゴシック" w:eastAsia="ＭＳ Ｐゴシック" w:hAnsi="ＭＳ Ｐゴシック" w:cs="ＭＳ Ｐゴシック"/>
          <w:sz w:val="24"/>
          <w:szCs w:val="24"/>
          <w:lang w:eastAsia="ja-JP"/>
        </w:rPr>
      </w:pPr>
      <w:r w:rsidRPr="009E2FD9">
        <w:rPr>
          <w:rFonts w:ascii="ＭＳ Ｐゴシック" w:eastAsia="ＭＳ Ｐゴシック" w:hAnsi="ＭＳ Ｐゴシック" w:cs="ＭＳ Ｐゴシック"/>
          <w:sz w:val="24"/>
          <w:szCs w:val="24"/>
          <w:lang w:eastAsia="ja-JP"/>
        </w:rPr>
        <w:t>​</w:t>
      </w:r>
    </w:p>
    <w:p w14:paraId="2347E3BB" w14:textId="77777777" w:rsidR="00044DD8" w:rsidRDefault="00044DD8" w:rsidP="00044DD8">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Conclusions</w:t>
      </w:r>
    </w:p>
    <w:p w14:paraId="17F848FD" w14:textId="77777777" w:rsidR="00044DD8" w:rsidRDefault="00044DD8" w:rsidP="00044DD8">
      <w:pPr>
        <w:spacing w:after="240" w:line="300" w:lineRule="exact"/>
        <w:rPr>
          <w:rFonts w:ascii="Calibri" w:hAnsi="Calibri" w:cs="Calibri"/>
          <w:szCs w:val="24"/>
          <w:lang w:val="en-GB" w:eastAsia="ja-JP"/>
        </w:rPr>
      </w:pPr>
      <w:commentRangeStart w:id="3"/>
      <w:r>
        <w:rPr>
          <w:lang w:eastAsia="ja-JP"/>
        </w:rPr>
        <w:t>In this contribution, we share our views on how to perform UE data forwarding during the top-down sequence inter-donor-CU migration</w:t>
      </w:r>
      <w:r>
        <w:rPr>
          <w:rFonts w:ascii="Calibri" w:hAnsi="Calibri" w:cs="Calibri"/>
          <w:szCs w:val="24"/>
          <w:lang w:val="en-GB" w:eastAsia="ja-JP"/>
        </w:rPr>
        <w:t>. Based on our considerations, the following is proposed:</w:t>
      </w:r>
    </w:p>
    <w:p w14:paraId="2B14D366" w14:textId="77777777" w:rsidR="00044DD8" w:rsidRPr="00BC7559" w:rsidRDefault="00044DD8" w:rsidP="00044DD8">
      <w:pPr>
        <w:spacing w:after="240" w:line="300" w:lineRule="exact"/>
        <w:rPr>
          <w:rFonts w:ascii="Calibri" w:hAnsi="Calibri" w:cs="Calibri"/>
          <w:b/>
          <w:szCs w:val="24"/>
          <w:lang w:val="en-GB" w:eastAsia="ja-JP"/>
        </w:rPr>
      </w:pPr>
      <w:r>
        <w:rPr>
          <w:rFonts w:ascii="Calibri" w:hAnsi="Calibri" w:cs="Calibri" w:hint="eastAsia"/>
          <w:b/>
          <w:szCs w:val="24"/>
          <w:lang w:val="en-GB" w:eastAsia="ja-JP"/>
        </w:rPr>
        <w:t>O</w:t>
      </w:r>
      <w:r>
        <w:rPr>
          <w:rFonts w:ascii="Calibri" w:hAnsi="Calibri" w:cs="Calibri"/>
          <w:b/>
          <w:szCs w:val="24"/>
          <w:lang w:val="en-GB" w:eastAsia="ja-JP"/>
        </w:rPr>
        <w:t>bservation 1: at top-down sequence stage, after IAB-MT migration node cannot decapsulate PDCP ciphered UE data and without know the ciphering key of UE, the target IAB donor could not decapsulate the UE data.</w:t>
      </w:r>
    </w:p>
    <w:p w14:paraId="58FEC074" w14:textId="77777777" w:rsidR="00044DD8" w:rsidRPr="00BC7559" w:rsidRDefault="00044DD8" w:rsidP="00044DD8">
      <w:pPr>
        <w:spacing w:after="240" w:line="300" w:lineRule="exact"/>
        <w:rPr>
          <w:rFonts w:ascii="Calibri" w:hAnsi="Calibri" w:cs="Calibri"/>
          <w:b/>
          <w:szCs w:val="24"/>
          <w:lang w:val="en-GB" w:eastAsia="ja-JP"/>
        </w:rPr>
      </w:pPr>
      <w:r>
        <w:rPr>
          <w:rFonts w:ascii="Calibri" w:hAnsi="Calibri" w:cs="Calibri"/>
          <w:b/>
          <w:szCs w:val="24"/>
          <w:lang w:val="en-GB" w:eastAsia="ja-JP"/>
        </w:rPr>
        <w:lastRenderedPageBreak/>
        <w:t>Proposal 1:</w:t>
      </w:r>
      <w:r w:rsidRPr="008E6E8A">
        <w:rPr>
          <w:rFonts w:ascii="Calibri" w:hAnsi="Calibri" w:cs="Calibri"/>
          <w:b/>
          <w:szCs w:val="24"/>
          <w:lang w:val="en-GB" w:eastAsia="ja-JP"/>
        </w:rPr>
        <w:t xml:space="preserve"> </w:t>
      </w:r>
      <w:r>
        <w:rPr>
          <w:rFonts w:ascii="Calibri" w:hAnsi="Calibri" w:cs="Calibri"/>
          <w:b/>
          <w:szCs w:val="24"/>
          <w:lang w:val="en-GB" w:eastAsia="ja-JP"/>
        </w:rPr>
        <w:t>The d</w:t>
      </w:r>
      <w:r w:rsidRPr="008E6E8A">
        <w:rPr>
          <w:rFonts w:ascii="Calibri" w:hAnsi="Calibri" w:cs="Calibri"/>
          <w:b/>
          <w:szCs w:val="24"/>
          <w:lang w:val="en-GB" w:eastAsia="ja-JP"/>
        </w:rPr>
        <w:t xml:space="preserve">ata forwarding route from </w:t>
      </w:r>
      <w:r>
        <w:rPr>
          <w:rFonts w:ascii="Calibri" w:hAnsi="Calibri" w:cs="Calibri"/>
          <w:b/>
          <w:szCs w:val="24"/>
          <w:lang w:val="en-GB" w:eastAsia="ja-JP"/>
        </w:rPr>
        <w:t xml:space="preserve">the </w:t>
      </w:r>
      <w:r w:rsidRPr="008E6E8A">
        <w:rPr>
          <w:rFonts w:ascii="Calibri" w:hAnsi="Calibri" w:cs="Calibri"/>
          <w:b/>
          <w:szCs w:val="24"/>
          <w:lang w:val="en-GB" w:eastAsia="ja-JP"/>
        </w:rPr>
        <w:t xml:space="preserve">source IAB-donor to </w:t>
      </w:r>
      <w:r>
        <w:rPr>
          <w:rFonts w:ascii="Calibri" w:hAnsi="Calibri" w:cs="Calibri"/>
          <w:b/>
          <w:szCs w:val="24"/>
          <w:lang w:val="en-GB" w:eastAsia="ja-JP"/>
        </w:rPr>
        <w:t>the source IAB-DU</w:t>
      </w:r>
      <w:r w:rsidRPr="008E6E8A">
        <w:rPr>
          <w:rFonts w:ascii="Calibri" w:hAnsi="Calibri" w:cs="Calibri"/>
          <w:b/>
          <w:szCs w:val="24"/>
          <w:lang w:val="en-GB" w:eastAsia="ja-JP"/>
        </w:rPr>
        <w:t xml:space="preserve"> via the connection between </w:t>
      </w:r>
      <w:r>
        <w:rPr>
          <w:rFonts w:ascii="Calibri" w:hAnsi="Calibri" w:cs="Calibri"/>
          <w:b/>
          <w:szCs w:val="24"/>
          <w:lang w:val="en-GB" w:eastAsia="ja-JP"/>
        </w:rPr>
        <w:t xml:space="preserve">the </w:t>
      </w:r>
      <w:r w:rsidRPr="008E6E8A">
        <w:rPr>
          <w:rFonts w:ascii="Calibri" w:hAnsi="Calibri" w:cs="Calibri"/>
          <w:b/>
          <w:szCs w:val="24"/>
          <w:lang w:val="en-GB" w:eastAsia="ja-JP"/>
        </w:rPr>
        <w:t xml:space="preserve">target IAB-donor and </w:t>
      </w:r>
      <w:r>
        <w:rPr>
          <w:rFonts w:ascii="Calibri" w:hAnsi="Calibri" w:cs="Calibri"/>
          <w:b/>
          <w:szCs w:val="24"/>
          <w:lang w:val="en-GB" w:eastAsia="ja-JP"/>
        </w:rPr>
        <w:t xml:space="preserve">the </w:t>
      </w:r>
      <w:r w:rsidRPr="008E6E8A">
        <w:rPr>
          <w:rFonts w:ascii="Calibri" w:hAnsi="Calibri" w:cs="Calibri"/>
          <w:b/>
          <w:szCs w:val="24"/>
          <w:lang w:val="en-GB" w:eastAsia="ja-JP"/>
        </w:rPr>
        <w:t>target IAB-DU should be studied</w:t>
      </w:r>
      <w:r>
        <w:rPr>
          <w:rFonts w:ascii="Calibri" w:hAnsi="Calibri" w:cs="Calibri"/>
          <w:b/>
          <w:szCs w:val="24"/>
          <w:lang w:val="en-GB" w:eastAsia="ja-JP"/>
        </w:rPr>
        <w:t>.</w:t>
      </w:r>
      <w:r w:rsidRPr="008E6E8A">
        <w:rPr>
          <w:rFonts w:ascii="Calibri" w:hAnsi="Calibri" w:cs="Calibri"/>
          <w:b/>
          <w:szCs w:val="24"/>
          <w:lang w:val="en-GB" w:eastAsia="ja-JP"/>
        </w:rPr>
        <w:t xml:space="preserve"> </w:t>
      </w:r>
    </w:p>
    <w:p w14:paraId="40EA2487" w14:textId="77777777" w:rsidR="0093413F" w:rsidDel="00EB574F" w:rsidRDefault="0093413F" w:rsidP="0093413F">
      <w:pPr>
        <w:spacing w:after="240" w:line="300" w:lineRule="exact"/>
        <w:rPr>
          <w:rFonts w:ascii="Calibri" w:hAnsi="Calibri" w:cs="Calibri"/>
          <w:szCs w:val="24"/>
          <w:lang w:val="en-GB" w:eastAsia="ja-JP"/>
        </w:rPr>
      </w:pPr>
      <w:r w:rsidDel="00EB574F">
        <w:rPr>
          <w:rFonts w:ascii="Calibri" w:hAnsi="Calibri" w:cs="Calibri" w:hint="eastAsia"/>
          <w:b/>
          <w:szCs w:val="24"/>
          <w:lang w:val="en-GB" w:eastAsia="ja-JP"/>
        </w:rPr>
        <w:t>O</w:t>
      </w:r>
      <w:r w:rsidDel="00EB574F">
        <w:rPr>
          <w:rFonts w:ascii="Calibri" w:hAnsi="Calibri" w:cs="Calibri"/>
          <w:b/>
          <w:szCs w:val="24"/>
          <w:lang w:val="en-GB" w:eastAsia="ja-JP"/>
        </w:rPr>
        <w:t xml:space="preserve">bservation 2: BAP address </w:t>
      </w:r>
      <w:r>
        <w:rPr>
          <w:rFonts w:ascii="Calibri" w:hAnsi="Calibri" w:cs="Calibri"/>
          <w:b/>
          <w:szCs w:val="24"/>
          <w:lang w:val="en-GB" w:eastAsia="ja-JP"/>
        </w:rPr>
        <w:t>of IAB-MT and BAP address of the target donor DU is used for BAP routing between the source IAB-DU and the target donor DU.</w:t>
      </w:r>
    </w:p>
    <w:p w14:paraId="718833BE" w14:textId="77777777" w:rsidR="0093413F" w:rsidRPr="00FA010F" w:rsidRDefault="0093413F" w:rsidP="0093413F">
      <w:pPr>
        <w:spacing w:after="240" w:line="300" w:lineRule="exact"/>
        <w:rPr>
          <w:rFonts w:ascii="Calibri" w:hAnsi="Calibri" w:cs="Calibri"/>
          <w:b/>
          <w:szCs w:val="24"/>
          <w:lang w:val="en-GB" w:eastAsia="ja-JP"/>
        </w:rPr>
      </w:pPr>
      <w:r w:rsidDel="00EB574F">
        <w:rPr>
          <w:rFonts w:ascii="Calibri" w:hAnsi="Calibri" w:cs="Calibri"/>
          <w:b/>
          <w:szCs w:val="24"/>
          <w:lang w:val="en-GB" w:eastAsia="ja-JP"/>
        </w:rPr>
        <w:t>Proposal</w:t>
      </w:r>
      <w:r w:rsidRPr="00C518B3" w:rsidDel="00EB574F">
        <w:rPr>
          <w:rFonts w:ascii="Calibri" w:hAnsi="Calibri" w:cs="Calibri"/>
          <w:b/>
          <w:szCs w:val="24"/>
          <w:lang w:val="en-GB" w:eastAsia="ja-JP"/>
        </w:rPr>
        <w:t xml:space="preserve"> 2: </w:t>
      </w:r>
      <w:r w:rsidDel="00EB574F">
        <w:rPr>
          <w:rFonts w:ascii="Calibri" w:hAnsi="Calibri" w:cs="Calibri"/>
          <w:b/>
          <w:szCs w:val="24"/>
          <w:lang w:val="en-GB" w:eastAsia="ja-JP"/>
        </w:rPr>
        <w:t xml:space="preserve">RAN3 agree </w:t>
      </w:r>
      <w:r>
        <w:rPr>
          <w:rFonts w:ascii="Calibri" w:hAnsi="Calibri" w:cs="Calibri"/>
          <w:b/>
          <w:szCs w:val="24"/>
          <w:lang w:val="en-GB" w:eastAsia="ja-JP"/>
        </w:rPr>
        <w:t>that w</w:t>
      </w:r>
      <w:r w:rsidRPr="00BB0A0D">
        <w:rPr>
          <w:rFonts w:ascii="Calibri" w:hAnsi="Calibri" w:cs="Calibri"/>
          <w:b/>
          <w:szCs w:val="24"/>
          <w:lang w:val="en-GB" w:eastAsia="ja-JP"/>
        </w:rPr>
        <w:t xml:space="preserve">ith top-down sequence, after IAB-MT migration, </w:t>
      </w:r>
      <w:r>
        <w:rPr>
          <w:rFonts w:ascii="Calibri" w:hAnsi="Calibri" w:cs="Calibri"/>
          <w:b/>
          <w:szCs w:val="24"/>
          <w:lang w:val="en-GB" w:eastAsia="ja-JP"/>
        </w:rPr>
        <w:t xml:space="preserve">the source IAB-DU uses </w:t>
      </w:r>
      <w:r w:rsidDel="00EB574F">
        <w:rPr>
          <w:rFonts w:ascii="Calibri" w:hAnsi="Calibri" w:cs="Calibri"/>
          <w:b/>
          <w:szCs w:val="24"/>
          <w:lang w:val="en-GB" w:eastAsia="ja-JP"/>
        </w:rPr>
        <w:t>new BAP address</w:t>
      </w:r>
      <w:r>
        <w:rPr>
          <w:rFonts w:ascii="Calibri" w:hAnsi="Calibri" w:cs="Calibri"/>
          <w:b/>
          <w:szCs w:val="24"/>
          <w:lang w:val="en-GB" w:eastAsia="ja-JP"/>
        </w:rPr>
        <w:t>es configured to IAB-MT for its BAP routing.</w:t>
      </w:r>
    </w:p>
    <w:p w14:paraId="11360506" w14:textId="77777777" w:rsidR="0093413F" w:rsidRDefault="0093413F" w:rsidP="0093413F">
      <w:pPr>
        <w:spacing w:after="240" w:line="300" w:lineRule="exact"/>
        <w:rPr>
          <w:rFonts w:ascii="Calibri" w:hAnsi="Calibri" w:cs="Calibri"/>
          <w:b/>
          <w:szCs w:val="24"/>
          <w:lang w:val="en-GB" w:eastAsia="ja-JP"/>
        </w:rPr>
      </w:pPr>
      <w:r>
        <w:rPr>
          <w:rFonts w:ascii="Calibri" w:hAnsi="Calibri" w:cs="Calibri" w:hint="eastAsia"/>
          <w:b/>
          <w:szCs w:val="24"/>
          <w:lang w:val="en-GB" w:eastAsia="ja-JP"/>
        </w:rPr>
        <w:t>O</w:t>
      </w:r>
      <w:r>
        <w:rPr>
          <w:rFonts w:ascii="Calibri" w:hAnsi="Calibri" w:cs="Calibri"/>
          <w:b/>
          <w:szCs w:val="24"/>
          <w:lang w:val="en-GB" w:eastAsia="ja-JP"/>
        </w:rPr>
        <w:t>bservation 3: Data could be routed based on IP protocol among the source IAB-donor and target IAB-donor. Also, data forwarding might happen between target IAB-DU and source IAB-DU. IAB-MT forwards the packet from the target IAB donor based on the destination IP address, the IP address of the source IAB DU or the target IAB-D</w:t>
      </w:r>
      <w:r>
        <w:rPr>
          <w:rFonts w:ascii="Calibri" w:hAnsi="Calibri" w:cs="Calibri" w:hint="eastAsia"/>
          <w:b/>
          <w:szCs w:val="24"/>
          <w:lang w:val="en-GB" w:eastAsia="ja-JP"/>
        </w:rPr>
        <w:t>U</w:t>
      </w:r>
    </w:p>
    <w:p w14:paraId="19D21BCD" w14:textId="0C0F0F7F" w:rsidR="00044DD8" w:rsidRPr="0087540B" w:rsidRDefault="0093413F" w:rsidP="00044DD8">
      <w:pPr>
        <w:spacing w:after="240" w:line="300" w:lineRule="exact"/>
        <w:rPr>
          <w:rFonts w:ascii="Calibri" w:hAnsi="Calibri" w:cs="Calibri"/>
          <w:szCs w:val="24"/>
          <w:lang w:val="en-GB" w:eastAsia="ja-JP"/>
        </w:rPr>
      </w:pPr>
      <w:r w:rsidRPr="004D1DD3">
        <w:rPr>
          <w:rFonts w:ascii="Calibri" w:hAnsi="Calibri" w:cs="Calibri" w:hint="eastAsia"/>
          <w:b/>
          <w:szCs w:val="24"/>
          <w:lang w:val="en-GB" w:eastAsia="ja-JP"/>
        </w:rPr>
        <w:t>P</w:t>
      </w:r>
      <w:r w:rsidRPr="004D1DD3">
        <w:rPr>
          <w:rFonts w:ascii="Calibri" w:hAnsi="Calibri" w:cs="Calibri"/>
          <w:b/>
          <w:szCs w:val="24"/>
          <w:lang w:val="en-GB" w:eastAsia="ja-JP"/>
        </w:rPr>
        <w:t>roposal 3:</w:t>
      </w:r>
      <w:r w:rsidRPr="004D1DD3">
        <w:t xml:space="preserve"> </w:t>
      </w:r>
      <w:r w:rsidRPr="004D1DD3">
        <w:rPr>
          <w:rFonts w:ascii="Calibri" w:hAnsi="Calibri" w:cs="Calibri"/>
          <w:b/>
          <w:szCs w:val="24"/>
          <w:lang w:val="en-GB" w:eastAsia="ja-JP"/>
        </w:rPr>
        <w:t>RAN3 agree that after IAB-MT migration, migrating IAB node has two types of IP addresses, one for source IAB DU and the other for target IAB DU</w:t>
      </w:r>
      <w:r>
        <w:rPr>
          <w:rFonts w:ascii="Calibri" w:hAnsi="Calibri" w:cs="Calibri"/>
          <w:b/>
          <w:szCs w:val="24"/>
          <w:lang w:val="en-GB" w:eastAsia="ja-JP"/>
        </w:rPr>
        <w:t>.</w:t>
      </w:r>
    </w:p>
    <w:p w14:paraId="2C813C26" w14:textId="77777777" w:rsidR="00044DD8" w:rsidRDefault="00044DD8" w:rsidP="00044DD8">
      <w:pPr>
        <w:spacing w:after="0" w:line="240" w:lineRule="auto"/>
        <w:rPr>
          <w:rFonts w:ascii="Calibri" w:hAnsi="Calibri" w:cs="Calibri"/>
          <w:szCs w:val="24"/>
          <w:lang w:val="en-GB" w:eastAsia="ja-JP"/>
        </w:rPr>
      </w:pPr>
      <w:r>
        <w:rPr>
          <w:rFonts w:ascii="Calibri" w:hAnsi="Calibri" w:cs="Calibri"/>
          <w:b/>
          <w:szCs w:val="24"/>
          <w:lang w:val="en-GB" w:eastAsia="ja-JP"/>
        </w:rPr>
        <w:t>Proposal</w:t>
      </w:r>
      <w:r w:rsidRPr="00C518B3">
        <w:rPr>
          <w:rFonts w:ascii="Calibri" w:hAnsi="Calibri" w:cs="Calibri"/>
          <w:b/>
          <w:szCs w:val="24"/>
          <w:lang w:val="en-GB" w:eastAsia="ja-JP"/>
        </w:rPr>
        <w:t xml:space="preserve"> </w:t>
      </w:r>
      <w:r>
        <w:rPr>
          <w:rFonts w:ascii="Calibri" w:hAnsi="Calibri" w:cs="Calibri"/>
          <w:b/>
          <w:szCs w:val="24"/>
          <w:lang w:val="en-GB" w:eastAsia="ja-JP"/>
        </w:rPr>
        <w:t>4</w:t>
      </w:r>
      <w:r w:rsidRPr="00C518B3">
        <w:rPr>
          <w:rFonts w:ascii="Calibri" w:hAnsi="Calibri" w:cs="Calibri"/>
          <w:b/>
          <w:szCs w:val="24"/>
          <w:lang w:val="en-GB" w:eastAsia="ja-JP"/>
        </w:rPr>
        <w:t>: IP address to BAP address mapping mechanism should be considered while UE’s packet is forward</w:t>
      </w:r>
      <w:r>
        <w:rPr>
          <w:rFonts w:ascii="Calibri" w:hAnsi="Calibri" w:cs="Calibri"/>
          <w:b/>
          <w:szCs w:val="24"/>
          <w:lang w:val="en-GB" w:eastAsia="ja-JP"/>
        </w:rPr>
        <w:t>ed</w:t>
      </w:r>
      <w:r w:rsidRPr="00C518B3">
        <w:rPr>
          <w:rFonts w:ascii="Calibri" w:hAnsi="Calibri" w:cs="Calibri"/>
          <w:b/>
          <w:szCs w:val="24"/>
          <w:lang w:val="en-GB" w:eastAsia="ja-JP"/>
        </w:rPr>
        <w:t xml:space="preserve"> by </w:t>
      </w:r>
      <w:r>
        <w:rPr>
          <w:rFonts w:ascii="Calibri" w:hAnsi="Calibri" w:cs="Calibri"/>
          <w:b/>
          <w:szCs w:val="24"/>
          <w:lang w:val="en-GB" w:eastAsia="ja-JP"/>
        </w:rPr>
        <w:t xml:space="preserve">the </w:t>
      </w:r>
      <w:r w:rsidRPr="00C518B3">
        <w:rPr>
          <w:rFonts w:ascii="Calibri" w:hAnsi="Calibri" w:cs="Calibri"/>
          <w:b/>
          <w:szCs w:val="24"/>
          <w:lang w:val="en-GB" w:eastAsia="ja-JP"/>
        </w:rPr>
        <w:t xml:space="preserve">target IAB-donor and </w:t>
      </w:r>
      <w:r>
        <w:rPr>
          <w:rFonts w:ascii="Calibri" w:hAnsi="Calibri" w:cs="Calibri"/>
          <w:b/>
          <w:szCs w:val="24"/>
          <w:lang w:val="en-GB" w:eastAsia="ja-JP"/>
        </w:rPr>
        <w:t xml:space="preserve">the </w:t>
      </w:r>
      <w:r w:rsidRPr="00C518B3">
        <w:rPr>
          <w:rFonts w:ascii="Calibri" w:hAnsi="Calibri" w:cs="Calibri"/>
          <w:b/>
          <w:szCs w:val="24"/>
          <w:lang w:val="en-GB" w:eastAsia="ja-JP"/>
        </w:rPr>
        <w:t xml:space="preserve">target IAB-DU. </w:t>
      </w:r>
      <w:commentRangeEnd w:id="3"/>
      <w:r w:rsidR="006C7416">
        <w:rPr>
          <w:rStyle w:val="ae"/>
        </w:rPr>
        <w:commentReference w:id="3"/>
      </w:r>
    </w:p>
    <w:p w14:paraId="74ED4BE1" w14:textId="77777777" w:rsidR="00044DD8" w:rsidRDefault="00044DD8" w:rsidP="00044DD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4E84DAEB" w14:textId="77777777" w:rsidR="00044DD8" w:rsidRPr="003F4860" w:rsidRDefault="00044DD8" w:rsidP="00044DD8">
      <w:pPr>
        <w:spacing w:afterLines="25" w:after="60" w:line="240" w:lineRule="atLeast"/>
        <w:rPr>
          <w:sz w:val="23"/>
          <w:szCs w:val="23"/>
          <w:highlight w:val="yellow"/>
          <w:lang w:eastAsia="ja-JP"/>
        </w:rPr>
      </w:pPr>
      <w:r w:rsidRPr="00DF4A31">
        <w:rPr>
          <w:rFonts w:hint="eastAsia"/>
          <w:sz w:val="23"/>
          <w:szCs w:val="23"/>
          <w:lang w:eastAsia="ja-JP"/>
        </w:rPr>
        <w:t>[1]</w:t>
      </w:r>
      <w:r>
        <w:rPr>
          <w:sz w:val="23"/>
          <w:szCs w:val="23"/>
          <w:lang w:eastAsia="ja-JP"/>
        </w:rPr>
        <w:t xml:space="preserve"> RP-202129   </w:t>
      </w:r>
      <w:r w:rsidRPr="00F77A4F">
        <w:rPr>
          <w:sz w:val="23"/>
          <w:szCs w:val="23"/>
          <w:lang w:eastAsia="ja-JP"/>
        </w:rPr>
        <w:t>Status Report RAN WG3</w:t>
      </w:r>
    </w:p>
    <w:p w14:paraId="59CF3DAA" w14:textId="3344BC63" w:rsidR="00044DD8" w:rsidRPr="00675F1A" w:rsidRDefault="00044DD8" w:rsidP="00044DD8">
      <w:pPr>
        <w:spacing w:afterLines="25" w:after="60" w:line="240" w:lineRule="atLeast"/>
        <w:rPr>
          <w:sz w:val="23"/>
          <w:szCs w:val="23"/>
          <w:lang w:eastAsia="ja-JP"/>
        </w:rPr>
      </w:pPr>
      <w:bookmarkStart w:id="4" w:name="_GoBack"/>
      <w:bookmarkEnd w:id="4"/>
    </w:p>
    <w:sectPr w:rsidR="00044DD8" w:rsidRPr="00675F1A" w:rsidSect="00ED742A">
      <w:footerReference w:type="default" r:id="rId16"/>
      <w:pgSz w:w="12240" w:h="15840" w:code="1"/>
      <w:pgMar w:top="1440" w:right="1077" w:bottom="1440"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takeda2" w:date="2021-01-13T00:06:00Z" w:initials="takeda2">
    <w:p w14:paraId="2947C1F8" w14:textId="77777777" w:rsidR="006C7416" w:rsidRDefault="006C7416">
      <w:pPr>
        <w:pStyle w:val="af"/>
        <w:rPr>
          <w:lang w:eastAsia="ja-JP"/>
        </w:rPr>
      </w:pPr>
      <w:r>
        <w:rPr>
          <w:rStyle w:val="ae"/>
        </w:rPr>
        <w:annotationRef/>
      </w:r>
      <w:r>
        <w:rPr>
          <w:rFonts w:hint="eastAsia"/>
          <w:lang w:eastAsia="ja-JP"/>
        </w:rPr>
        <w:t>最終的には、本文に合わせて下さい。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47C1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47C1F8" w16cid:durableId="23A8B7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AFE68" w14:textId="77777777" w:rsidR="00B4770E" w:rsidRDefault="00B4770E" w:rsidP="000519FA">
      <w:pPr>
        <w:spacing w:after="0" w:line="240" w:lineRule="auto"/>
      </w:pPr>
      <w:r>
        <w:separator/>
      </w:r>
    </w:p>
  </w:endnote>
  <w:endnote w:type="continuationSeparator" w:id="0">
    <w:p w14:paraId="7400B76E" w14:textId="77777777" w:rsidR="00B4770E" w:rsidRDefault="00B4770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14:paraId="4C540725" w14:textId="77777777" w:rsidR="007A28E4" w:rsidRDefault="007A28E4">
        <w:pPr>
          <w:pStyle w:val="ac"/>
          <w:jc w:val="center"/>
        </w:pPr>
        <w:r>
          <w:fldChar w:fldCharType="begin"/>
        </w:r>
        <w:r>
          <w:instrText xml:space="preserve"> PAGE   \* MERGEFORMAT </w:instrText>
        </w:r>
        <w:r>
          <w:fldChar w:fldCharType="separate"/>
        </w:r>
        <w:r>
          <w:rPr>
            <w:noProof/>
          </w:rPr>
          <w:t>3</w:t>
        </w:r>
        <w:r>
          <w:rPr>
            <w:noProof/>
          </w:rPr>
          <w:fldChar w:fldCharType="end"/>
        </w:r>
      </w:p>
    </w:sdtContent>
  </w:sdt>
  <w:p w14:paraId="4EA2F0E1" w14:textId="77777777"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4F534" w14:textId="77777777" w:rsidR="00B4770E" w:rsidRDefault="00B4770E" w:rsidP="000519FA">
      <w:pPr>
        <w:spacing w:after="0" w:line="240" w:lineRule="auto"/>
      </w:pPr>
      <w:r>
        <w:separator/>
      </w:r>
    </w:p>
  </w:footnote>
  <w:footnote w:type="continuationSeparator" w:id="0">
    <w:p w14:paraId="47D8D3FC" w14:textId="77777777" w:rsidR="00B4770E" w:rsidRDefault="00B4770E"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5" w15:restartNumberingAfterBreak="0">
    <w:nsid w:val="7BD5789F"/>
    <w:multiLevelType w:val="hybridMultilevel"/>
    <w:tmpl w:val="A3B290CE"/>
    <w:lvl w:ilvl="0" w:tplc="1616B380">
      <w:start w:val="2"/>
      <w:numFmt w:val="bullet"/>
      <w:lvlText w:val="-"/>
      <w:lvlJc w:val="left"/>
      <w:pPr>
        <w:ind w:left="360" w:hanging="360"/>
      </w:pPr>
      <w:rPr>
        <w:rFonts w:ascii="Calibri" w:eastAsia="SimSun"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da2">
    <w15:presenceInfo w15:providerId="None" w15:userId="take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6CA3"/>
    <w:rsid w:val="00027E68"/>
    <w:rsid w:val="00030F14"/>
    <w:rsid w:val="000330CB"/>
    <w:rsid w:val="00034701"/>
    <w:rsid w:val="000366F9"/>
    <w:rsid w:val="0003672D"/>
    <w:rsid w:val="0003674B"/>
    <w:rsid w:val="00036E7E"/>
    <w:rsid w:val="00040121"/>
    <w:rsid w:val="0004042B"/>
    <w:rsid w:val="0004043A"/>
    <w:rsid w:val="00041657"/>
    <w:rsid w:val="00042C03"/>
    <w:rsid w:val="00042C44"/>
    <w:rsid w:val="00044DD8"/>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58E4"/>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5A5E"/>
    <w:rsid w:val="00135C3E"/>
    <w:rsid w:val="00140E8C"/>
    <w:rsid w:val="00141632"/>
    <w:rsid w:val="001418C6"/>
    <w:rsid w:val="00141D99"/>
    <w:rsid w:val="001430FB"/>
    <w:rsid w:val="00143A4D"/>
    <w:rsid w:val="00144667"/>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73190"/>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0B2"/>
    <w:rsid w:val="001D194C"/>
    <w:rsid w:val="001D1BA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1CF8"/>
    <w:rsid w:val="002229D5"/>
    <w:rsid w:val="00223E8F"/>
    <w:rsid w:val="0022460B"/>
    <w:rsid w:val="00225532"/>
    <w:rsid w:val="00225856"/>
    <w:rsid w:val="002258AF"/>
    <w:rsid w:val="0022777D"/>
    <w:rsid w:val="00231395"/>
    <w:rsid w:val="00231881"/>
    <w:rsid w:val="00231EB5"/>
    <w:rsid w:val="00232F1F"/>
    <w:rsid w:val="00233B26"/>
    <w:rsid w:val="002346B3"/>
    <w:rsid w:val="0023472E"/>
    <w:rsid w:val="00234A84"/>
    <w:rsid w:val="00235507"/>
    <w:rsid w:val="00235B85"/>
    <w:rsid w:val="0023711F"/>
    <w:rsid w:val="002409ED"/>
    <w:rsid w:val="00240F6C"/>
    <w:rsid w:val="002413C1"/>
    <w:rsid w:val="002414EE"/>
    <w:rsid w:val="00241571"/>
    <w:rsid w:val="00241980"/>
    <w:rsid w:val="00242B5E"/>
    <w:rsid w:val="0024311D"/>
    <w:rsid w:val="0024363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43B1"/>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03C0"/>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0E7A"/>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F95"/>
    <w:rsid w:val="004432F7"/>
    <w:rsid w:val="00445BD7"/>
    <w:rsid w:val="00445CBE"/>
    <w:rsid w:val="00445E44"/>
    <w:rsid w:val="00447952"/>
    <w:rsid w:val="004479A5"/>
    <w:rsid w:val="00450F84"/>
    <w:rsid w:val="00451778"/>
    <w:rsid w:val="004537DA"/>
    <w:rsid w:val="004544D1"/>
    <w:rsid w:val="00455B0D"/>
    <w:rsid w:val="00456005"/>
    <w:rsid w:val="00456552"/>
    <w:rsid w:val="00456865"/>
    <w:rsid w:val="00460080"/>
    <w:rsid w:val="00460BA7"/>
    <w:rsid w:val="00460E5F"/>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944"/>
    <w:rsid w:val="00474970"/>
    <w:rsid w:val="00475F96"/>
    <w:rsid w:val="00477004"/>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2EB8"/>
    <w:rsid w:val="00493C1E"/>
    <w:rsid w:val="00494589"/>
    <w:rsid w:val="004949CD"/>
    <w:rsid w:val="00494DC3"/>
    <w:rsid w:val="00494DFD"/>
    <w:rsid w:val="00495736"/>
    <w:rsid w:val="004958CC"/>
    <w:rsid w:val="00496F40"/>
    <w:rsid w:val="004A0E13"/>
    <w:rsid w:val="004A0FC3"/>
    <w:rsid w:val="004A1366"/>
    <w:rsid w:val="004A6126"/>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23E6"/>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6EE0"/>
    <w:rsid w:val="005170AC"/>
    <w:rsid w:val="00517B60"/>
    <w:rsid w:val="00521A58"/>
    <w:rsid w:val="00522CC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8C1"/>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0C28"/>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66"/>
    <w:rsid w:val="00680649"/>
    <w:rsid w:val="00681521"/>
    <w:rsid w:val="0068355D"/>
    <w:rsid w:val="00683A7B"/>
    <w:rsid w:val="00684C47"/>
    <w:rsid w:val="0068557E"/>
    <w:rsid w:val="00685A2A"/>
    <w:rsid w:val="00685AAA"/>
    <w:rsid w:val="00685F29"/>
    <w:rsid w:val="00686364"/>
    <w:rsid w:val="0068794A"/>
    <w:rsid w:val="00687E04"/>
    <w:rsid w:val="00690D2D"/>
    <w:rsid w:val="00692247"/>
    <w:rsid w:val="006933A5"/>
    <w:rsid w:val="006945CB"/>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4EAB"/>
    <w:rsid w:val="006B7208"/>
    <w:rsid w:val="006C0C44"/>
    <w:rsid w:val="006C2631"/>
    <w:rsid w:val="006C27FD"/>
    <w:rsid w:val="006C35CA"/>
    <w:rsid w:val="006C3E11"/>
    <w:rsid w:val="006C3EFA"/>
    <w:rsid w:val="006C47CF"/>
    <w:rsid w:val="006C525D"/>
    <w:rsid w:val="006C557B"/>
    <w:rsid w:val="006C5B06"/>
    <w:rsid w:val="006C7416"/>
    <w:rsid w:val="006D06E3"/>
    <w:rsid w:val="006D2500"/>
    <w:rsid w:val="006D268C"/>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0B52"/>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4715"/>
    <w:rsid w:val="007A694B"/>
    <w:rsid w:val="007A7028"/>
    <w:rsid w:val="007A74C4"/>
    <w:rsid w:val="007A7EC6"/>
    <w:rsid w:val="007B0187"/>
    <w:rsid w:val="007B021F"/>
    <w:rsid w:val="007B02FF"/>
    <w:rsid w:val="007B0732"/>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FEC"/>
    <w:rsid w:val="007C70C7"/>
    <w:rsid w:val="007D26A3"/>
    <w:rsid w:val="007D2F36"/>
    <w:rsid w:val="007D3B10"/>
    <w:rsid w:val="007D4B1D"/>
    <w:rsid w:val="007D6483"/>
    <w:rsid w:val="007D6706"/>
    <w:rsid w:val="007D75FC"/>
    <w:rsid w:val="007D7E09"/>
    <w:rsid w:val="007E0054"/>
    <w:rsid w:val="007E124F"/>
    <w:rsid w:val="007E1949"/>
    <w:rsid w:val="007E1971"/>
    <w:rsid w:val="007E2891"/>
    <w:rsid w:val="007E2E6D"/>
    <w:rsid w:val="007E3296"/>
    <w:rsid w:val="007E3753"/>
    <w:rsid w:val="007E3B53"/>
    <w:rsid w:val="007E3FFD"/>
    <w:rsid w:val="007E46B1"/>
    <w:rsid w:val="007E538E"/>
    <w:rsid w:val="007E5A19"/>
    <w:rsid w:val="007E5AD0"/>
    <w:rsid w:val="007E703B"/>
    <w:rsid w:val="007F3D86"/>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492"/>
    <w:rsid w:val="00807036"/>
    <w:rsid w:val="00807B7F"/>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07D85"/>
    <w:rsid w:val="00911A4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7D10"/>
    <w:rsid w:val="0093098D"/>
    <w:rsid w:val="00931BD8"/>
    <w:rsid w:val="00933237"/>
    <w:rsid w:val="0093413F"/>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67F9A"/>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CAC"/>
    <w:rsid w:val="009A7DF6"/>
    <w:rsid w:val="009B0D4F"/>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D19"/>
    <w:rsid w:val="009F4223"/>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0F0"/>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2B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3E32"/>
    <w:rsid w:val="00B44F2F"/>
    <w:rsid w:val="00B45124"/>
    <w:rsid w:val="00B45ED9"/>
    <w:rsid w:val="00B461C4"/>
    <w:rsid w:val="00B46B57"/>
    <w:rsid w:val="00B474B6"/>
    <w:rsid w:val="00B47643"/>
    <w:rsid w:val="00B4770E"/>
    <w:rsid w:val="00B47AD2"/>
    <w:rsid w:val="00B50510"/>
    <w:rsid w:val="00B518A6"/>
    <w:rsid w:val="00B51F96"/>
    <w:rsid w:val="00B5221A"/>
    <w:rsid w:val="00B5421B"/>
    <w:rsid w:val="00B54FE5"/>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700C9"/>
    <w:rsid w:val="00B72671"/>
    <w:rsid w:val="00B72DF0"/>
    <w:rsid w:val="00B73F5E"/>
    <w:rsid w:val="00B740D5"/>
    <w:rsid w:val="00B7477F"/>
    <w:rsid w:val="00B75096"/>
    <w:rsid w:val="00B75A23"/>
    <w:rsid w:val="00B75B14"/>
    <w:rsid w:val="00B75DA8"/>
    <w:rsid w:val="00B77286"/>
    <w:rsid w:val="00B773C4"/>
    <w:rsid w:val="00B8023E"/>
    <w:rsid w:val="00B81BF9"/>
    <w:rsid w:val="00B8487E"/>
    <w:rsid w:val="00B84D61"/>
    <w:rsid w:val="00B873E2"/>
    <w:rsid w:val="00B87EFA"/>
    <w:rsid w:val="00B92A59"/>
    <w:rsid w:val="00B95591"/>
    <w:rsid w:val="00B95E05"/>
    <w:rsid w:val="00B97BBB"/>
    <w:rsid w:val="00BA00AC"/>
    <w:rsid w:val="00BA032A"/>
    <w:rsid w:val="00BA4B34"/>
    <w:rsid w:val="00BA52D2"/>
    <w:rsid w:val="00BB0A0D"/>
    <w:rsid w:val="00BB0FA9"/>
    <w:rsid w:val="00BB2868"/>
    <w:rsid w:val="00BB488E"/>
    <w:rsid w:val="00BB543F"/>
    <w:rsid w:val="00BB7706"/>
    <w:rsid w:val="00BC01AE"/>
    <w:rsid w:val="00BC109C"/>
    <w:rsid w:val="00BC11C0"/>
    <w:rsid w:val="00BC30F0"/>
    <w:rsid w:val="00BC44B1"/>
    <w:rsid w:val="00BC4710"/>
    <w:rsid w:val="00BC5ACE"/>
    <w:rsid w:val="00BC65F3"/>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018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3097"/>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287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750"/>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07634"/>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CE8"/>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089"/>
    <w:rsid w:val="00D572FD"/>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0C7"/>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D7552"/>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4"/>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7C9D"/>
    <w:rsid w:val="00E8020D"/>
    <w:rsid w:val="00E8057D"/>
    <w:rsid w:val="00E80D19"/>
    <w:rsid w:val="00E81614"/>
    <w:rsid w:val="00E81A23"/>
    <w:rsid w:val="00E824AC"/>
    <w:rsid w:val="00E83206"/>
    <w:rsid w:val="00E83465"/>
    <w:rsid w:val="00E84024"/>
    <w:rsid w:val="00E84919"/>
    <w:rsid w:val="00E84BF9"/>
    <w:rsid w:val="00E85648"/>
    <w:rsid w:val="00E85B60"/>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74F"/>
    <w:rsid w:val="00EB59C6"/>
    <w:rsid w:val="00EB6EEB"/>
    <w:rsid w:val="00EC0208"/>
    <w:rsid w:val="00EC0444"/>
    <w:rsid w:val="00EC40AB"/>
    <w:rsid w:val="00EC517A"/>
    <w:rsid w:val="00EC53A6"/>
    <w:rsid w:val="00EC5855"/>
    <w:rsid w:val="00EC5BD3"/>
    <w:rsid w:val="00EC67BA"/>
    <w:rsid w:val="00EC73D5"/>
    <w:rsid w:val="00EC7993"/>
    <w:rsid w:val="00EC7AFE"/>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E78DF"/>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1967"/>
    <w:rsid w:val="00F1206A"/>
    <w:rsid w:val="00F1234C"/>
    <w:rsid w:val="00F12D6A"/>
    <w:rsid w:val="00F14B55"/>
    <w:rsid w:val="00F151F9"/>
    <w:rsid w:val="00F153E0"/>
    <w:rsid w:val="00F1581A"/>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AE5"/>
    <w:rsid w:val="00F61BD5"/>
    <w:rsid w:val="00F61ED2"/>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10F"/>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4FD8"/>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40E2C6F"/>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77A01-C53F-49DA-BBDE-159F0D48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1578</Words>
  <Characters>8997</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11</cp:revision>
  <cp:lastPrinted>2018-04-02T06:42:00Z</cp:lastPrinted>
  <dcterms:created xsi:type="dcterms:W3CDTF">2021-01-14T01:27:00Z</dcterms:created>
  <dcterms:modified xsi:type="dcterms:W3CDTF">2021-01-14T13:37:00Z</dcterms:modified>
</cp:coreProperties>
</file>